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ascii="Helvetica" w:hAnsi="Helvetica" w:eastAsia="Helvetica" w:cs="Helvetica"/>
          <w:i w:val="0"/>
          <w:iCs w:val="0"/>
          <w:caps w:val="0"/>
          <w:color w:val="000000"/>
          <w:spacing w:val="0"/>
          <w:sz w:val="28"/>
          <w:szCs w:val="28"/>
        </w:rPr>
      </w:pPr>
      <w:bookmarkStart w:id="0" w:name="_GoBack"/>
      <w:r>
        <w:rPr>
          <w:rFonts w:hint="default" w:ascii="Helvetica" w:hAnsi="Helvetica" w:eastAsia="Helvetica" w:cs="Helvetica"/>
          <w:i w:val="0"/>
          <w:iCs w:val="0"/>
          <w:caps w:val="0"/>
          <w:color w:val="000000"/>
          <w:spacing w:val="0"/>
          <w:sz w:val="28"/>
          <w:szCs w:val="28"/>
          <w:bdr w:val="none" w:color="auto" w:sz="0" w:space="0"/>
          <w:shd w:val="clear" w:fill="FFFFFF"/>
        </w:rPr>
        <w:t>全省教科文卫体系统工会干部培训班开班</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5月15日，全省教科文卫体系统工会干部培训班在沈阳开班，来自全省各市教科文卫体工会的主席，省总工会直属高校工会的主席、副主席等70余名工会干部参加培训。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培训聚焦实施全面振兴新突破三年行动，结合系统工会干部的实际需求，重点讲授党的二十大精神、中国工会十八大精神、工会基层组织规范化建设、工会经费收支管理和基层工会工作实务等内容。省教科文卫体工会邀请相关领域专家，对建设社会主义现代化国家的行动纲领，职代会提案、企事业单位民主管理工作概述，《辽宁省基层工会经费收支管理办法实施细则》解读等内容进行了全面细致的讲解。“通过培训不仅提高了政治站位，也提升了自身素质，面对新形势新任务新要求下出现的新问题，我们也学到了解决问题的新方法。”抚顺市教科文卫体工会副主席陆文新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省教科文卫体工会相关负责人表示，希望通过培训，让教科文卫体系统工会干部进一步深入学习宣传贯彻党的二十大精神和中国工会十八大精神，全面提升系统工会干部的业务能力水平和综合素质，培养造就高素质的教科文卫体系统工会干部队伍，推动教科文卫体工会工作高质量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683E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2024-07-05T07:08:06Z</dcterms:created>
  <dc:creator>Administrator</dc:creator>
  <cp:lastModifiedBy>Administrator</cp:lastModifiedBy>
  <dcterms:modified xsi:type="dcterms:W3CDTF">2024-07-05T07:08:39Z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F64385F3541645D59FFE5D13556974BC_12</vt:lpwstr>
  </property>
</Properties>
</file>