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1"/>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3882D3C5">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畜牧兽医</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6382"/>
      <w:bookmarkStart w:id="2" w:name="_Toc10419"/>
      <w:bookmarkStart w:id="3" w:name="_Toc28314"/>
      <w:bookmarkStart w:id="4" w:name="_Toc24715"/>
      <w:bookmarkStart w:id="5" w:name="_Toc26524"/>
      <w:bookmarkStart w:id="6" w:name="_Toc6321"/>
      <w:bookmarkStart w:id="7" w:name="_Toc28939"/>
      <w:bookmarkStart w:id="8" w:name="_Toc28827"/>
      <w:bookmarkStart w:id="9" w:name="_Toc25851"/>
      <w:bookmarkStart w:id="10" w:name="_Toc26516"/>
      <w:bookmarkStart w:id="11" w:name="_Toc16569"/>
      <w:bookmarkStart w:id="12" w:name="_Toc13626"/>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EE62205">
      <w:pPr>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5597FDE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_Toc13386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《动物解剖生理》课程标准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_Toc13386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90B4EC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_Toc12894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《动物微生物与免疫技术》课程标准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_Toc12894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D6ADC1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_Toc2494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《动物营养与饲料》课程标准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3EF88D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_Toc15093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《动物遗传繁育》课程标准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_Toc15093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DA2F82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_Toc15544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《动物生物化学》课程标准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_Toc15544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6806F4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_Toc1257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《动物药理》课程标准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_Toc1257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7B2538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_Toc23259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《动物病理》课程标准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_Toc23259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12A265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_Toc18597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《养殖场环境控制与污物治理技术》课程标准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_Toc18597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4071BE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_Toc32469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《牛羊生产》课程标准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_Toc32469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4E87F1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_Toc12877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《养禽与禽病防治》课程标准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_Toc12877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EFA3FB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_Toc22462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《养猪与猪病防治》课程标准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_Toc22462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759FC5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_Toc8719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《动物内科病》课程标准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_Toc8719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0FFFB1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_Toc25757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《畜牧场经营与管理》课程标准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_Toc25757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F40A32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_Toc1059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《现代养殖设备与设施》课程标准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_Toc1059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536ACA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_Toc19690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《动物解剖与微生物综合实训》课程标准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_Toc19690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D7D4BD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_Toc9661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《畜牧兽医法律法规》课程标准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_Toc9661 \h </w:instrText>
      </w:r>
      <w:r>
        <w:rPr>
          <w:rFonts w:hint="eastAsia" w:ascii="宋体" w:hAnsi="宋体" w:eastAsia="宋体" w:cs="宋体"/>
          <w:sz w:val="24"/>
          <w:szCs w:val="24"/>
        </w:rPr>
        <w:fldChar w:fldCharType="separate"/>
      </w:r>
      <w:r>
        <w:rPr>
          <w:rFonts w:hint="eastAsia" w:ascii="宋体" w:hAnsi="宋体" w:eastAsia="宋体" w:cs="宋体"/>
          <w:sz w:val="24"/>
          <w:szCs w:val="24"/>
        </w:rPr>
        <w:t>97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949F23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_Toc17985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《兽医资格证考试培训》课程标准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_Toc17985 \h </w:instrText>
      </w:r>
      <w:r>
        <w:rPr>
          <w:rFonts w:hint="eastAsia" w:ascii="宋体" w:hAnsi="宋体" w:eastAsia="宋体" w:cs="宋体"/>
          <w:sz w:val="24"/>
          <w:szCs w:val="24"/>
        </w:rPr>
        <w:fldChar w:fldCharType="separate"/>
      </w:r>
      <w:r>
        <w:rPr>
          <w:rFonts w:hint="eastAsia" w:ascii="宋体" w:hAnsi="宋体" w:eastAsia="宋体" w:cs="宋体"/>
          <w:sz w:val="24"/>
          <w:szCs w:val="24"/>
        </w:rPr>
        <w:t>102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E7128F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_Toc22126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《畜产品市场营销》课程标准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_Toc22126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702E20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_Toc14509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《动物防疫与检疫》课程标准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_Toc14509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AD47B7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_Toc25043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《动物外科与产科》课程标准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_Toc25043 \h </w:instrText>
      </w:r>
      <w:r>
        <w:rPr>
          <w:rFonts w:hint="eastAsia" w:ascii="宋体" w:hAnsi="宋体" w:eastAsia="宋体" w:cs="宋体"/>
          <w:sz w:val="24"/>
          <w:szCs w:val="24"/>
        </w:rPr>
        <w:fldChar w:fldCharType="separate"/>
      </w:r>
      <w:r>
        <w:rPr>
          <w:rFonts w:hint="eastAsia" w:ascii="宋体" w:hAnsi="宋体" w:eastAsia="宋体" w:cs="宋体"/>
          <w:sz w:val="24"/>
          <w:szCs w:val="24"/>
        </w:rPr>
        <w:t>116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15618E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_Toc7719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《动物疫病防治技术》课程标准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_Toc7719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B9CE33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_Toc2949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《动物解剖与微生物综合实训》课程标准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_Toc2949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6640D0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_Toc16199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《畜牧基础综合实训》课程标准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_Toc16199 \h </w:instrText>
      </w:r>
      <w:r>
        <w:rPr>
          <w:rFonts w:hint="eastAsia" w:ascii="宋体" w:hAnsi="宋体" w:eastAsia="宋体" w:cs="宋体"/>
          <w:sz w:val="24"/>
          <w:szCs w:val="24"/>
        </w:rPr>
        <w:fldChar w:fldCharType="separate"/>
      </w:r>
      <w:r>
        <w:rPr>
          <w:rFonts w:hint="eastAsia" w:ascii="宋体" w:hAnsi="宋体" w:eastAsia="宋体" w:cs="宋体"/>
          <w:sz w:val="24"/>
          <w:szCs w:val="24"/>
        </w:rPr>
        <w:t>132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13EAF0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_Toc18335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《养禽与禽病防治》实训课程标准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_Toc18335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F05219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_Toc15922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《养猪与猪病防治实训》课程标准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_Toc15922 \h </w:instrText>
      </w:r>
      <w:r>
        <w:rPr>
          <w:rFonts w:hint="eastAsia" w:ascii="宋体" w:hAnsi="宋体" w:eastAsia="宋体" w:cs="宋体"/>
          <w:sz w:val="24"/>
          <w:szCs w:val="24"/>
        </w:rPr>
        <w:fldChar w:fldCharType="separate"/>
      </w:r>
      <w:r>
        <w:rPr>
          <w:rFonts w:hint="eastAsia" w:ascii="宋体" w:hAnsi="宋体" w:eastAsia="宋体" w:cs="宋体"/>
          <w:sz w:val="24"/>
          <w:szCs w:val="24"/>
        </w:rPr>
        <w:t>145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54B9E1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_Toc31828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《动物临床诊疗实训》课程标准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_Toc31828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85052B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_Toc10830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《岗位实习一》课程标准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_Toc10830 \h </w:instrText>
      </w:r>
      <w:r>
        <w:rPr>
          <w:rFonts w:hint="eastAsia" w:ascii="宋体" w:hAnsi="宋体" w:eastAsia="宋体" w:cs="宋体"/>
          <w:sz w:val="24"/>
          <w:szCs w:val="24"/>
        </w:rPr>
        <w:fldChar w:fldCharType="separate"/>
      </w:r>
      <w:r>
        <w:rPr>
          <w:rFonts w:hint="eastAsia" w:ascii="宋体" w:hAnsi="宋体" w:eastAsia="宋体" w:cs="宋体"/>
          <w:sz w:val="24"/>
          <w:szCs w:val="24"/>
        </w:rPr>
        <w:t>154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14B832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_Toc15730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《岗位实习二》课程标准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_Toc15730 \h </w:instrText>
      </w:r>
      <w:r>
        <w:rPr>
          <w:rFonts w:hint="eastAsia" w:ascii="宋体" w:hAnsi="宋体" w:eastAsia="宋体" w:cs="宋体"/>
          <w:sz w:val="24"/>
          <w:szCs w:val="24"/>
        </w:rPr>
        <w:fldChar w:fldCharType="separate"/>
      </w:r>
      <w:r>
        <w:rPr>
          <w:rFonts w:hint="eastAsia" w:ascii="宋体" w:hAnsi="宋体" w:eastAsia="宋体" w:cs="宋体"/>
          <w:sz w:val="24"/>
          <w:szCs w:val="24"/>
        </w:rPr>
        <w:t>159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A52EC1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_Toc27203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《毕业教育》课程标准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_Toc27203 \h </w:instrText>
      </w:r>
      <w:r>
        <w:rPr>
          <w:rFonts w:hint="eastAsia" w:ascii="宋体" w:hAnsi="宋体" w:eastAsia="宋体" w:cs="宋体"/>
          <w:sz w:val="24"/>
          <w:szCs w:val="24"/>
        </w:rPr>
        <w:fldChar w:fldCharType="separate"/>
      </w:r>
      <w:r>
        <w:rPr>
          <w:rFonts w:hint="eastAsia" w:ascii="宋体" w:hAnsi="宋体" w:eastAsia="宋体" w:cs="宋体"/>
          <w:sz w:val="24"/>
          <w:szCs w:val="24"/>
        </w:rPr>
        <w:t>165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EE617B0">
      <w:pPr>
        <w:spacing w:line="360" w:lineRule="auto"/>
        <w:jc w:val="both"/>
        <w:rPr>
          <w:rFonts w:hint="eastAsia" w:ascii="宋体" w:hAnsi="宋体" w:eastAsia="宋体" w:cs="宋体"/>
          <w:b/>
          <w:bCs/>
          <w:sz w:val="24"/>
          <w:szCs w:val="2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65472537">
      <w:pPr>
        <w:pStyle w:val="2"/>
        <w:bidi w:val="0"/>
        <w:jc w:val="center"/>
        <w:rPr>
          <w:rFonts w:hint="eastAsia"/>
          <w:lang w:val="en-US" w:eastAsia="zh-CN"/>
        </w:rPr>
      </w:pPr>
      <w:bookmarkStart w:id="13" w:name="_Toc13386"/>
      <w:bookmarkStart w:id="14" w:name="_Toc32627"/>
      <w:bookmarkStart w:id="15" w:name="_Toc20887"/>
      <w:r>
        <w:rPr>
          <w:rFonts w:hint="eastAsia"/>
          <w:lang w:val="en-US" w:eastAsia="zh-CN"/>
        </w:rPr>
        <w:t>《动物解剖生理》课程标准</w:t>
      </w:r>
      <w:bookmarkEnd w:id="13"/>
      <w:bookmarkEnd w:id="14"/>
    </w:p>
    <w:p w14:paraId="4A80080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00"/>
        <w:gridCol w:w="1639"/>
        <w:gridCol w:w="942"/>
        <w:gridCol w:w="1000"/>
        <w:gridCol w:w="3138"/>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2D277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3DC175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动物解剖生理</w:t>
            </w:r>
          </w:p>
        </w:tc>
        <w:tc>
          <w:tcPr>
            <w:tcW w:w="534" w:type="pct"/>
            <w:tcBorders>
              <w:top w:val="single" w:color="auto" w:sz="4" w:space="0"/>
              <w:left w:val="single" w:color="auto" w:sz="4" w:space="0"/>
              <w:bottom w:val="single" w:color="auto" w:sz="4" w:space="0"/>
              <w:right w:val="single" w:color="auto" w:sz="4" w:space="0"/>
            </w:tcBorders>
            <w:vAlign w:val="center"/>
          </w:tcPr>
          <w:p w14:paraId="4D243C5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BBB8BF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xcxm24001</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7FCE77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sz w:val="21"/>
                <w:szCs w:val="21"/>
                <w:lang w:val="en-US" w:eastAsia="zh-CN"/>
              </w:rPr>
            </w:pPr>
            <w:r>
              <w:rPr>
                <w:rFonts w:hint="eastAsia"/>
                <w:sz w:val="21"/>
                <w:szCs w:val="21"/>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59C2D7EE">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F330439">
            <w:pPr>
              <w:jc w:val="center"/>
              <w:rPr>
                <w:rFonts w:hint="eastAsia"/>
                <w:sz w:val="21"/>
                <w:szCs w:val="21"/>
                <w:lang w:val="en-US" w:eastAsia="zh-CN"/>
              </w:rPr>
            </w:pPr>
            <w:r>
              <w:rPr>
                <w:rFonts w:hint="eastAsia"/>
                <w:sz w:val="21"/>
                <w:szCs w:val="21"/>
                <w:lang w:val="en-US" w:eastAsia="zh-CN"/>
              </w:rPr>
              <w:t>16学时</w:t>
            </w:r>
          </w:p>
        </w:tc>
        <w:tc>
          <w:tcPr>
            <w:tcW w:w="534" w:type="pct"/>
            <w:tcBorders>
              <w:top w:val="single" w:color="auto" w:sz="4" w:space="0"/>
              <w:left w:val="single" w:color="auto" w:sz="4" w:space="0"/>
              <w:bottom w:val="single" w:color="auto" w:sz="4" w:space="0"/>
              <w:right w:val="single" w:color="auto" w:sz="4" w:space="0"/>
            </w:tcBorders>
            <w:vAlign w:val="center"/>
          </w:tcPr>
          <w:p w14:paraId="5376248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3EBD2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F0D778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ECD4A51">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畜牧兽医专业</w:t>
            </w: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A6271F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6C462F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5C923F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153869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6218A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A6839EF">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生物、动物学等</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6F707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FCD716C">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动物病理、</w:t>
            </w:r>
            <w:r>
              <w:rPr>
                <w:rFonts w:hint="eastAsia" w:ascii="Arial" w:hAnsi="Arial" w:eastAsia="宋体" w:cs="Arial"/>
                <w:color w:val="auto"/>
                <w:sz w:val="21"/>
                <w:szCs w:val="21"/>
                <w:lang w:val="en-US" w:eastAsia="zh-CN"/>
              </w:rPr>
              <w:t>动物药理、</w:t>
            </w:r>
            <w:r>
              <w:rPr>
                <w:rFonts w:hint="default" w:ascii="Arial" w:hAnsi="Arial" w:eastAsia="宋体" w:cs="Arial"/>
                <w:color w:val="auto"/>
                <w:sz w:val="21"/>
                <w:szCs w:val="21"/>
                <w:lang w:val="en-US" w:eastAsia="zh-CN"/>
              </w:rPr>
              <w:t>动物临床诊疗等</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EE0076C">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动物解剖生理</w:t>
            </w:r>
            <w:r>
              <w:rPr>
                <w:rFonts w:ascii="Arial" w:hAnsi="Arial" w:eastAsia="宋体" w:cs="Arial"/>
                <w:sz w:val="21"/>
                <w:szCs w:val="21"/>
              </w:rPr>
              <w:t>》</w:t>
            </w:r>
            <w:r>
              <w:rPr>
                <w:rFonts w:hint="eastAsia" w:ascii="Arial" w:hAnsi="Arial" w:eastAsia="宋体" w:cs="Arial"/>
                <w:sz w:val="21"/>
                <w:szCs w:val="21"/>
                <w:lang w:val="en-US" w:eastAsia="zh-CN"/>
              </w:rPr>
              <w:t>第三版</w:t>
            </w:r>
            <w:r>
              <w:rPr>
                <w:rFonts w:ascii="Arial" w:hAnsi="Arial" w:eastAsia="宋体" w:cs="Arial"/>
                <w:sz w:val="21"/>
                <w:szCs w:val="21"/>
              </w:rPr>
              <w:t>（</w:t>
            </w:r>
            <w:r>
              <w:rPr>
                <w:rFonts w:hint="eastAsia" w:ascii="Arial" w:hAnsi="Arial" w:eastAsia="宋体" w:cs="Arial"/>
                <w:sz w:val="21"/>
                <w:szCs w:val="21"/>
                <w:lang w:val="en-US" w:eastAsia="zh-CN"/>
              </w:rPr>
              <w:t>作者：周其虎，中国农业出版社，2019年11月出版，ISBN号9787109260962</w:t>
            </w:r>
            <w:r>
              <w:rPr>
                <w:rFonts w:ascii="Arial" w:hAnsi="Arial" w:eastAsia="宋体" w:cs="Arial"/>
                <w:sz w:val="21"/>
                <w:szCs w:val="21"/>
              </w:rPr>
              <w:t>)</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23BA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B089AB5">
            <w:pPr>
              <w:widowControl/>
              <w:jc w:val="left"/>
              <w:rPr>
                <w:rFonts w:hint="eastAsia" w:eastAsiaTheme="minorEastAsia"/>
                <w:sz w:val="21"/>
                <w:szCs w:val="21"/>
                <w:lang w:val="en-US" w:eastAsia="zh-CN"/>
              </w:rPr>
            </w:pPr>
            <w:r>
              <w:rPr>
                <w:rFonts w:hint="eastAsia"/>
                <w:sz w:val="21"/>
                <w:szCs w:val="21"/>
                <w:lang w:val="en-US" w:eastAsia="zh-CN"/>
              </w:rPr>
              <w:t>程玮</w:t>
            </w:r>
          </w:p>
        </w:tc>
        <w:tc>
          <w:tcPr>
            <w:tcW w:w="534" w:type="pct"/>
            <w:tcBorders>
              <w:top w:val="single" w:color="auto" w:sz="4" w:space="0"/>
              <w:left w:val="single" w:color="auto" w:sz="4" w:space="0"/>
              <w:bottom w:val="single" w:color="auto" w:sz="4" w:space="0"/>
              <w:right w:val="single" w:color="auto" w:sz="4" w:space="0"/>
            </w:tcBorders>
            <w:vAlign w:val="center"/>
          </w:tcPr>
          <w:p w14:paraId="4120585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83A280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5283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4445CA2">
            <w:pPr>
              <w:widowControl/>
              <w:jc w:val="left"/>
              <w:rPr>
                <w:rFonts w:hint="eastAsia" w:eastAsiaTheme="minorEastAsia"/>
                <w:sz w:val="21"/>
                <w:szCs w:val="21"/>
                <w:lang w:val="en-US" w:eastAsia="zh-CN"/>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5BAD38E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D60B08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bl>
    <w:p w14:paraId="202A1A6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3758675">
      <w:pPr>
        <w:pStyle w:val="3"/>
        <w:bidi w:val="0"/>
        <w:rPr>
          <w:rFonts w:hint="eastAsia"/>
          <w:lang w:val="en-US" w:eastAsia="zh-CN"/>
        </w:rPr>
      </w:pPr>
      <w:r>
        <w:rPr>
          <w:rFonts w:hint="eastAsia"/>
          <w:lang w:val="en-US" w:eastAsia="zh-CN"/>
        </w:rPr>
        <w:t>二、课程定位</w:t>
      </w:r>
    </w:p>
    <w:p w14:paraId="3FAFBD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畜牧兽医类专业的专业基础课程，是在学习动物学、生物等先修课程的基础上，开设的一门理论与实践相结合的课程。课程对接专业人才培养目标，面向畜牧养殖、动物诊疗、宠物医疗等岗位，培养学生具备扎实的动物机体结构与功能认知，掌握基本</w:t>
      </w:r>
      <w:r>
        <w:rPr>
          <w:rFonts w:hint="eastAsia" w:asciiTheme="minorEastAsia" w:hAnsiTheme="minorEastAsia" w:eastAsiaTheme="minorEastAsia" w:cstheme="minorEastAsia"/>
          <w:sz w:val="24"/>
          <w:szCs w:val="24"/>
          <w:lang w:val="en-US" w:eastAsia="zh-CN"/>
        </w:rPr>
        <w:t>解剖</w:t>
      </w:r>
      <w:r>
        <w:rPr>
          <w:rFonts w:hint="eastAsia" w:ascii="宋体" w:hAnsi="宋体" w:eastAsia="宋体" w:cs="宋体"/>
          <w:sz w:val="24"/>
          <w:szCs w:val="24"/>
          <w:lang w:val="en-US" w:eastAsia="zh-CN"/>
        </w:rPr>
        <w:t>操作与生理检测技能，具备严谨求实的科学态度和良好的职业素养。课程为后续动物病理学、动物药理学、兽医临床诊疗技术等课程的学习奠定必要基础。同时，将课程思政内容融入教学全过程，引导学生树立正确的生命观、科学观和职业道德观。</w:t>
      </w:r>
    </w:p>
    <w:p w14:paraId="3A9E8490">
      <w:pPr>
        <w:pStyle w:val="3"/>
        <w:bidi w:val="0"/>
        <w:rPr>
          <w:rFonts w:hint="eastAsia"/>
          <w:lang w:val="en-US" w:eastAsia="zh-CN"/>
        </w:rPr>
      </w:pPr>
      <w:r>
        <w:rPr>
          <w:rFonts w:hint="eastAsia"/>
          <w:lang w:val="en-US" w:eastAsia="zh-CN"/>
        </w:rPr>
        <w:t>三、课程设计思路</w:t>
      </w:r>
    </w:p>
    <w:p w14:paraId="09ACD5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遵循“学生中心、产出导向、持续改进”的OBE教育理念。教学内容依据专业人才培养方案、行业技术标准及相关教材确定，以动物机体系统为单位组织教学，从形态结构到生理功能，从正常到异常认知，循序渐进。教学过程中注重理论与实践紧密结合，强化学生对动物机体整体性与系统性的理解。</w:t>
      </w:r>
    </w:p>
    <w:p w14:paraId="3A64D1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形式上，理论教学采用多媒体课件、实体模型、标本观察、动画演示等多种手段，结合案例分析与课堂讨论；实践教学通过实验室解剖操作、虚拟仿真软件、活体生理指标测定等方式开展，提升学生的实践动手能力和直观认知。探索“课堂讲授+实验实训”的多元教学模式。</w:t>
      </w:r>
    </w:p>
    <w:p w14:paraId="4D181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课程评价注重过程性考核与终结性考核相结合，构建涵盖知识、技能、素质与思政的多维度评价体系。结合国家乡村振兴战略、畜牧业高质量发展需求，融入行业新技术、新规范，以及“1+X”</w:t>
      </w:r>
      <w:r>
        <w:rPr>
          <w:rFonts w:hint="eastAsia" w:asciiTheme="minorEastAsia" w:hAnsiTheme="minorEastAsia" w:cstheme="minorEastAsia"/>
          <w:sz w:val="24"/>
          <w:szCs w:val="24"/>
          <w:lang w:val="en-US" w:eastAsia="zh-CN"/>
        </w:rPr>
        <w:t>z</w:t>
      </w:r>
      <w:r>
        <w:rPr>
          <w:rFonts w:hint="eastAsia" w:asciiTheme="minorEastAsia" w:hAnsiTheme="minorEastAsia" w:eastAsiaTheme="minorEastAsia" w:cstheme="minorEastAsia"/>
          <w:sz w:val="24"/>
          <w:szCs w:val="24"/>
          <w:lang w:val="en-US" w:eastAsia="zh-CN"/>
        </w:rPr>
        <w:t>职业技能等级证书、职业院校技能大赛、大学生创新创业大赛等相关内容，推动“岗课赛证”融通培养。课程思政方面，挖掘动物医学领域的科学家精神、兽医职业道德、动物福利理念、生态文明意识等思政元素，通过讲述我国畜牧兽医事业发展成就、行业模范事迹等，培养学生“知农爱农、强牧兴牧”的家国情怀和“精益求精、尊重生命”的职业精神。</w:t>
      </w:r>
    </w:p>
    <w:p w14:paraId="3163E068">
      <w:pPr>
        <w:pStyle w:val="3"/>
        <w:bidi w:val="0"/>
        <w:rPr>
          <w:rFonts w:hint="eastAsia"/>
          <w:lang w:val="en-US" w:eastAsia="zh-CN"/>
        </w:rPr>
      </w:pPr>
      <w:r>
        <w:rPr>
          <w:rFonts w:hint="eastAsia"/>
          <w:lang w:val="en-US" w:eastAsia="zh-CN"/>
        </w:rPr>
        <w:t>四、课程目标</w:t>
      </w:r>
    </w:p>
    <w:p w14:paraId="434407E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2DAD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能准确说出主要畜禽（如牛、猪、禽、犬、猫等）各器官系统的组成、形态结构和位置关系。</w:t>
      </w:r>
    </w:p>
    <w:p w14:paraId="00027B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熟悉动物主要器官（如心、肺、肝、肾、胃、肠等）的显微结构特点。</w:t>
      </w:r>
    </w:p>
    <w:p w14:paraId="7C06F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掌握动物生命活动的基本生理过程及其调节机制，如血液循环、呼吸、消化、吸收、泌尿、神经传导、内分泌调节等。</w:t>
      </w:r>
    </w:p>
    <w:p w14:paraId="508038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理解动物各系统结构与功能之间的关系，以及机体整体协调统一的规律。</w:t>
      </w:r>
    </w:p>
    <w:p w14:paraId="6E5E7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5. 了解常见畜禽解剖结构与其生理功能、生产性能及疾病发生之间的关</w:t>
      </w:r>
      <w:r>
        <w:rPr>
          <w:rFonts w:hint="eastAsia" w:ascii="宋体" w:hAnsi="宋体" w:eastAsia="宋体" w:cs="宋体"/>
          <w:sz w:val="24"/>
          <w:szCs w:val="24"/>
          <w:lang w:val="en-US" w:eastAsia="zh-CN"/>
        </w:rPr>
        <w:t>联。</w:t>
      </w:r>
    </w:p>
    <w:p w14:paraId="04495E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4A610B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能规范使用常用解剖器械，独立或在团队协作下完成主要畜禽的局部解剖操作。</w:t>
      </w:r>
    </w:p>
    <w:p w14:paraId="162E2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能借助显微镜观察并识别主要器官组织的典型结构。</w:t>
      </w:r>
    </w:p>
    <w:p w14:paraId="7AE658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能运用生理学原理和仪器设备，对动物（或模拟系统）进行基础生理指标的检测与分析（如体温、心率、呼吸频率、血压等）。</w:t>
      </w:r>
    </w:p>
    <w:p w14:paraId="52DD2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能根据解剖生理知识，初步分析和解释常见动物生产现象或疾病临床表现。</w:t>
      </w:r>
    </w:p>
    <w:p w14:paraId="0EED8D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具备查阅解剖生理资料、获取新知识和信息的基本能力。</w:t>
      </w:r>
    </w:p>
    <w:p w14:paraId="10354C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4AC20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培养学生敬畏生命、爱护动物、严谨认真的科学态度和职业道德。</w:t>
      </w:r>
    </w:p>
    <w:p w14:paraId="2C21DA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培养学生吃苦耐劳、团队协作、沟通表达的能力和良好的实验习惯。</w:t>
      </w:r>
    </w:p>
    <w:p w14:paraId="3834D7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培养学生分析问题、解决问题的逻辑思维能力和实践操作中的安全意识。</w:t>
      </w:r>
    </w:p>
    <w:p w14:paraId="4703C6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培养学生对畜牧兽医专业的认同感和从事本行业工作的初步兴趣与信心。</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3C75A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生命教育：引导学生理解生命的神圣与可贵，树立尊重生命、关爱动物的职业理念，培养仁爱之心。</w:t>
      </w:r>
    </w:p>
    <w:p w14:paraId="258BE5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科学精神：通过解剖生理发现史和实验探究，培养学生求真务实、严谨细致、勇于探索的科学精神。</w:t>
      </w:r>
    </w:p>
    <w:p w14:paraId="0AC63F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工匠精神：在解剖操作和生理实验中，追求精准、规范、精益求精，培育一丝不苟的工匠品质。</w:t>
      </w:r>
    </w:p>
    <w:p w14:paraId="58B370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职业道德：树立“爱岗敬业、诚实守信、遵纪守法”的兽医职业道德观，明确行业行为规范和社会责任。</w:t>
      </w:r>
    </w:p>
    <w:p w14:paraId="3DD768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家国情怀：结合我国现代畜牧业发展成就、动物疫病防控重大贡献案例，增强学生的民族自豪感和“学农报国”的使命感。</w:t>
      </w:r>
    </w:p>
    <w:p w14:paraId="04CAE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生态文明：理解健康养殖、动物福利与生态环境保护的关系，树立绿色、可持续发展的理念。</w:t>
      </w:r>
    </w:p>
    <w:p w14:paraId="2698868F">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612"/>
        <w:gridCol w:w="1960"/>
        <w:gridCol w:w="1619"/>
        <w:gridCol w:w="1531"/>
        <w:gridCol w:w="1108"/>
      </w:tblGrid>
      <w:tr w14:paraId="1925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819" w:type="pct"/>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860" w:type="pct"/>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046" w:type="pct"/>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64" w:type="pct"/>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17" w:type="pct"/>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1" w:type="pct"/>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1E38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52280E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1.动物体基本结构</w:t>
            </w:r>
          </w:p>
        </w:tc>
        <w:tc>
          <w:tcPr>
            <w:tcW w:w="860" w:type="pct"/>
            <w:vAlign w:val="center"/>
          </w:tcPr>
          <w:p w14:paraId="03992C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 细胞与基本组织</w:t>
            </w:r>
          </w:p>
          <w:p w14:paraId="796901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 器官、系统、有机体和基本术语</w:t>
            </w:r>
          </w:p>
        </w:tc>
        <w:tc>
          <w:tcPr>
            <w:tcW w:w="1046" w:type="pct"/>
            <w:vAlign w:val="center"/>
          </w:tcPr>
          <w:p w14:paraId="055700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细胞基本结构；四大组织的结构与功能特点；器官分类和结构；十大系统；常用方位术语；</w:t>
            </w:r>
          </w:p>
        </w:tc>
        <w:tc>
          <w:tcPr>
            <w:tcW w:w="864" w:type="pct"/>
            <w:vAlign w:val="center"/>
          </w:tcPr>
          <w:p w14:paraId="100B3695">
            <w:pPr>
              <w:bidi w:val="0"/>
              <w:jc w:val="center"/>
              <w:rPr>
                <w:rFonts w:hint="eastAsia"/>
                <w:sz w:val="21"/>
                <w:szCs w:val="21"/>
                <w:lang w:val="en-US" w:eastAsia="zh-CN"/>
              </w:rPr>
            </w:pPr>
            <w:r>
              <w:rPr>
                <w:rFonts w:hint="eastAsia" w:ascii="宋体" w:hAnsi="宋体" w:eastAsia="宋体" w:cs="宋体"/>
                <w:sz w:val="21"/>
                <w:szCs w:val="21"/>
                <w:lang w:val="en-US" w:eastAsia="zh-CN"/>
              </w:rPr>
              <w:t>能运用方位术语描述器官位置；能在显微镜下识别四种基本组织切片。</w:t>
            </w:r>
          </w:p>
        </w:tc>
        <w:tc>
          <w:tcPr>
            <w:tcW w:w="817" w:type="pct"/>
            <w:vAlign w:val="center"/>
          </w:tcPr>
          <w:p w14:paraId="5F5373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科学研究的严谨性；微观世界探索精神。</w:t>
            </w:r>
          </w:p>
        </w:tc>
        <w:tc>
          <w:tcPr>
            <w:tcW w:w="591" w:type="pct"/>
            <w:vAlign w:val="center"/>
          </w:tcPr>
          <w:p w14:paraId="170A4DA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609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748CBD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2.运动系统</w:t>
            </w:r>
          </w:p>
        </w:tc>
        <w:tc>
          <w:tcPr>
            <w:tcW w:w="860" w:type="pct"/>
            <w:vAlign w:val="center"/>
          </w:tcPr>
          <w:p w14:paraId="26F413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 骨骼 2.2 肌肉</w:t>
            </w:r>
          </w:p>
        </w:tc>
        <w:tc>
          <w:tcPr>
            <w:tcW w:w="1046" w:type="pct"/>
            <w:vAlign w:val="center"/>
          </w:tcPr>
          <w:p w14:paraId="2609AC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全身主要骨骼的名称、位置；主要关节类型；主要肌肉群的分布与功能。</w:t>
            </w:r>
          </w:p>
        </w:tc>
        <w:tc>
          <w:tcPr>
            <w:tcW w:w="864" w:type="pct"/>
            <w:vAlign w:val="center"/>
          </w:tcPr>
          <w:p w14:paraId="45CA19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能辨识主要骨骼标本或模型；能指认体表主要肌群。</w:t>
            </w:r>
          </w:p>
        </w:tc>
        <w:tc>
          <w:tcPr>
            <w:tcW w:w="817" w:type="pct"/>
            <w:vAlign w:val="center"/>
          </w:tcPr>
          <w:p w14:paraId="6F9F6F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结构与功能相适应；实践操作中的耐心与细致。</w:t>
            </w:r>
          </w:p>
        </w:tc>
        <w:tc>
          <w:tcPr>
            <w:tcW w:w="591" w:type="pct"/>
            <w:vAlign w:val="center"/>
          </w:tcPr>
          <w:p w14:paraId="7574E33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8E3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09B745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3.被皮系统</w:t>
            </w:r>
          </w:p>
        </w:tc>
        <w:tc>
          <w:tcPr>
            <w:tcW w:w="860" w:type="pct"/>
            <w:vAlign w:val="center"/>
          </w:tcPr>
          <w:p w14:paraId="43F6A3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皮肤及其衍生物</w:t>
            </w:r>
          </w:p>
        </w:tc>
        <w:tc>
          <w:tcPr>
            <w:tcW w:w="1046" w:type="pct"/>
            <w:vAlign w:val="center"/>
          </w:tcPr>
          <w:p w14:paraId="5080820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皮肤的结构、功能；毛、蹄、角、乳腺等衍生物的结构特点。</w:t>
            </w:r>
          </w:p>
        </w:tc>
        <w:tc>
          <w:tcPr>
            <w:tcW w:w="864" w:type="pct"/>
            <w:vAlign w:val="center"/>
          </w:tcPr>
          <w:p w14:paraId="0698186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能观察皮肤切片；能辨识不同家畜被皮特征。</w:t>
            </w:r>
          </w:p>
        </w:tc>
        <w:tc>
          <w:tcPr>
            <w:tcW w:w="817" w:type="pct"/>
            <w:vAlign w:val="center"/>
          </w:tcPr>
          <w:p w14:paraId="34451F4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动物福利意识（关注皮肤健康）。</w:t>
            </w:r>
          </w:p>
        </w:tc>
        <w:tc>
          <w:tcPr>
            <w:tcW w:w="591" w:type="pct"/>
            <w:vAlign w:val="center"/>
          </w:tcPr>
          <w:p w14:paraId="03307BE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5FB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4808F1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4.消化系统</w:t>
            </w:r>
          </w:p>
        </w:tc>
        <w:tc>
          <w:tcPr>
            <w:tcW w:w="860" w:type="pct"/>
            <w:vAlign w:val="center"/>
          </w:tcPr>
          <w:p w14:paraId="6A8873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 消化管 4.2 消化腺 4.3 消化与吸收生理</w:t>
            </w:r>
          </w:p>
        </w:tc>
        <w:tc>
          <w:tcPr>
            <w:tcW w:w="1046" w:type="pct"/>
            <w:vAlign w:val="center"/>
          </w:tcPr>
          <w:p w14:paraId="252E1C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消化管各段（口、咽、食管、胃、肠）的解剖结构；肝、胰的解剖与功能；消化方式、过程及营养吸收机制。</w:t>
            </w:r>
          </w:p>
        </w:tc>
        <w:tc>
          <w:tcPr>
            <w:tcW w:w="864" w:type="pct"/>
            <w:vAlign w:val="center"/>
          </w:tcPr>
          <w:p w14:paraId="266E9F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能解剖观察胃、肠、肝、胰的形态与位置；能分析不同动物消化生理特点。</w:t>
            </w:r>
          </w:p>
        </w:tc>
        <w:tc>
          <w:tcPr>
            <w:tcW w:w="817" w:type="pct"/>
            <w:vAlign w:val="center"/>
          </w:tcPr>
          <w:p w14:paraId="5A484A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珍惜粮食（联系反刍动物高效消化）；工匠精神（精细解剖操作）。</w:t>
            </w:r>
          </w:p>
        </w:tc>
        <w:tc>
          <w:tcPr>
            <w:tcW w:w="591" w:type="pct"/>
            <w:vAlign w:val="center"/>
          </w:tcPr>
          <w:p w14:paraId="1E6504F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5B37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5F7418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5.呼吸系统</w:t>
            </w:r>
          </w:p>
        </w:tc>
        <w:tc>
          <w:tcPr>
            <w:tcW w:w="860" w:type="pct"/>
            <w:vAlign w:val="center"/>
          </w:tcPr>
          <w:p w14:paraId="1B3FD9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 呼吸道与肺</w:t>
            </w:r>
          </w:p>
          <w:p w14:paraId="207DB4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 呼吸生理</w:t>
            </w:r>
          </w:p>
        </w:tc>
        <w:tc>
          <w:tcPr>
            <w:tcW w:w="1046" w:type="pct"/>
            <w:vAlign w:val="center"/>
          </w:tcPr>
          <w:p w14:paraId="5F0290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呼吸道组成、肺的解剖结构；呼吸运动、气体交换与运输机制。</w:t>
            </w:r>
          </w:p>
        </w:tc>
        <w:tc>
          <w:tcPr>
            <w:tcW w:w="864" w:type="pct"/>
            <w:vAlign w:val="center"/>
          </w:tcPr>
          <w:p w14:paraId="167DBD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能观察呼吸系统各器官标本；能测定和计算基础呼吸生理指标。</w:t>
            </w:r>
          </w:p>
        </w:tc>
        <w:tc>
          <w:tcPr>
            <w:tcW w:w="817" w:type="pct"/>
            <w:vAlign w:val="center"/>
          </w:tcPr>
          <w:p w14:paraId="2BEF84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生命在于运动；环境保护对呼吸健康的重要性。</w:t>
            </w:r>
          </w:p>
        </w:tc>
        <w:tc>
          <w:tcPr>
            <w:tcW w:w="591" w:type="pct"/>
            <w:vAlign w:val="center"/>
          </w:tcPr>
          <w:p w14:paraId="61900D7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AAA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253F8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6.泌尿系统</w:t>
            </w:r>
          </w:p>
        </w:tc>
        <w:tc>
          <w:tcPr>
            <w:tcW w:w="860" w:type="pct"/>
            <w:vAlign w:val="center"/>
          </w:tcPr>
          <w:p w14:paraId="787EB0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 肾脏与尿路</w:t>
            </w:r>
          </w:p>
          <w:p w14:paraId="080C22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 尿的生成与排泄</w:t>
            </w:r>
          </w:p>
        </w:tc>
        <w:tc>
          <w:tcPr>
            <w:tcW w:w="1046" w:type="pct"/>
            <w:vAlign w:val="center"/>
          </w:tcPr>
          <w:p w14:paraId="175052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肾脏的宏观与微观结构；输尿管、膀胱、尿道结构；尿生成的基本过程。</w:t>
            </w:r>
          </w:p>
        </w:tc>
        <w:tc>
          <w:tcPr>
            <w:tcW w:w="864" w:type="pct"/>
            <w:vAlign w:val="center"/>
          </w:tcPr>
          <w:p w14:paraId="5CFD2A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能观察肾脏剖面结构及切片；能分析影响尿生成的因素。</w:t>
            </w:r>
          </w:p>
        </w:tc>
        <w:tc>
          <w:tcPr>
            <w:tcW w:w="817" w:type="pct"/>
            <w:vAlign w:val="center"/>
          </w:tcPr>
          <w:p w14:paraId="282840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机体稳态的重要性；培养严谨的逻辑分析能力。</w:t>
            </w:r>
          </w:p>
        </w:tc>
        <w:tc>
          <w:tcPr>
            <w:tcW w:w="591" w:type="pct"/>
            <w:vAlign w:val="center"/>
          </w:tcPr>
          <w:p w14:paraId="0613F71B">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495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29F4C4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7.生殖系统</w:t>
            </w:r>
          </w:p>
        </w:tc>
        <w:tc>
          <w:tcPr>
            <w:tcW w:w="860" w:type="pct"/>
            <w:vAlign w:val="center"/>
          </w:tcPr>
          <w:p w14:paraId="12DF80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7.1雄性生殖系统</w:t>
            </w:r>
          </w:p>
          <w:p w14:paraId="52C0E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7.2雌性生殖系统</w:t>
            </w:r>
          </w:p>
          <w:p w14:paraId="121D1F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7.3生殖生理</w:t>
            </w:r>
          </w:p>
        </w:tc>
        <w:tc>
          <w:tcPr>
            <w:tcW w:w="1046" w:type="pct"/>
            <w:vAlign w:val="center"/>
          </w:tcPr>
          <w:p w14:paraId="62F64D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公畜、母畜生殖器官的解剖结构；精子、卵子发生；受精、妊娠基本过程。</w:t>
            </w:r>
          </w:p>
        </w:tc>
        <w:tc>
          <w:tcPr>
            <w:tcW w:w="864" w:type="pct"/>
            <w:vAlign w:val="center"/>
          </w:tcPr>
          <w:p w14:paraId="439358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能辨识公母畜生殖器官标本；能描述生殖基本过程。</w:t>
            </w:r>
          </w:p>
        </w:tc>
        <w:tc>
          <w:tcPr>
            <w:tcW w:w="817" w:type="pct"/>
            <w:vAlign w:val="center"/>
          </w:tcPr>
          <w:p w14:paraId="0A2917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科学的生殖伦理观；畜牧业可持续发展责任。</w:t>
            </w:r>
          </w:p>
        </w:tc>
        <w:tc>
          <w:tcPr>
            <w:tcW w:w="591" w:type="pct"/>
            <w:vAlign w:val="center"/>
          </w:tcPr>
          <w:p w14:paraId="58B3C2E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7BFC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3BDAB8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8.循环系统</w:t>
            </w:r>
          </w:p>
        </w:tc>
        <w:tc>
          <w:tcPr>
            <w:tcW w:w="860" w:type="pct"/>
            <w:vAlign w:val="center"/>
          </w:tcPr>
          <w:p w14:paraId="597828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 心脏与血管</w:t>
            </w:r>
          </w:p>
          <w:p w14:paraId="173F95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 血液</w:t>
            </w:r>
          </w:p>
          <w:p w14:paraId="5EEDE7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 心血管生理</w:t>
            </w:r>
          </w:p>
        </w:tc>
        <w:tc>
          <w:tcPr>
            <w:tcW w:w="1046" w:type="pct"/>
            <w:vAlign w:val="center"/>
          </w:tcPr>
          <w:p w14:paraId="5117E0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心脏结构、体循环与肺循环途径；血液组成与功能；心动周期、血压形成、心血管调节。</w:t>
            </w:r>
          </w:p>
        </w:tc>
        <w:tc>
          <w:tcPr>
            <w:tcW w:w="864" w:type="pct"/>
            <w:vAlign w:val="center"/>
          </w:tcPr>
          <w:p w14:paraId="3A141F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能观察心脏结构及血管分布模型；能进行血涂片制作与观察；能测量心率、血压。</w:t>
            </w:r>
          </w:p>
        </w:tc>
        <w:tc>
          <w:tcPr>
            <w:tcW w:w="817" w:type="pct"/>
            <w:vAlign w:val="center"/>
          </w:tcPr>
          <w:p w14:paraId="4E01A0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团队协作（如相互测量血压）；奉献精神（联系无偿献血）。</w:t>
            </w:r>
          </w:p>
        </w:tc>
        <w:tc>
          <w:tcPr>
            <w:tcW w:w="591" w:type="pct"/>
            <w:vAlign w:val="center"/>
          </w:tcPr>
          <w:p w14:paraId="310158E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577A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6BC4BAD4">
            <w:pPr>
              <w:keepNext w:val="0"/>
              <w:keepLines w:val="0"/>
              <w:pageBreakBefore w:val="0"/>
              <w:widowControl w:val="0"/>
              <w:numPr>
                <w:ilvl w:val="0"/>
                <w:numId w:val="1"/>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免疫系统</w:t>
            </w:r>
          </w:p>
          <w:p w14:paraId="09F8CDA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860" w:type="pct"/>
            <w:vAlign w:val="center"/>
          </w:tcPr>
          <w:p w14:paraId="3563ED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9.1免疫器官</w:t>
            </w:r>
          </w:p>
          <w:p w14:paraId="391631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9.2免疫细胞</w:t>
            </w:r>
          </w:p>
          <w:p w14:paraId="6E86DB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9.3淋巴</w:t>
            </w:r>
          </w:p>
        </w:tc>
        <w:tc>
          <w:tcPr>
            <w:tcW w:w="1046" w:type="pct"/>
            <w:vAlign w:val="center"/>
          </w:tcPr>
          <w:p w14:paraId="1195BB9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骨髓、胸腺、脾、淋巴结的结构；免疫细胞的种类和作用；淋巴管和淋巴。</w:t>
            </w:r>
          </w:p>
        </w:tc>
        <w:tc>
          <w:tcPr>
            <w:tcW w:w="864" w:type="pct"/>
            <w:vAlign w:val="center"/>
          </w:tcPr>
          <w:p w14:paraId="3E5A748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能辨识重要淋巴器官的主要结构模型，能在动物身体上找出临床常用的淋巴结。</w:t>
            </w:r>
          </w:p>
        </w:tc>
        <w:tc>
          <w:tcPr>
            <w:tcW w:w="817" w:type="pct"/>
            <w:vAlign w:val="center"/>
          </w:tcPr>
          <w:p w14:paraId="2BCE18B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探索免疫功能的奥秘；建立以预防为主的免疫接种技术。</w:t>
            </w:r>
          </w:p>
        </w:tc>
        <w:tc>
          <w:tcPr>
            <w:tcW w:w="591" w:type="pct"/>
            <w:vAlign w:val="center"/>
          </w:tcPr>
          <w:p w14:paraId="42247EBB">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33D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160958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10.神经系统与感觉器官</w:t>
            </w:r>
          </w:p>
        </w:tc>
        <w:tc>
          <w:tcPr>
            <w:tcW w:w="860" w:type="pct"/>
            <w:vAlign w:val="center"/>
          </w:tcPr>
          <w:p w14:paraId="3A45A4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10.1 中枢神经</w:t>
            </w:r>
          </w:p>
          <w:p w14:paraId="239B3A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10.2 外周神经</w:t>
            </w:r>
          </w:p>
          <w:p w14:paraId="60907E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10.3 感觉器官</w:t>
            </w:r>
          </w:p>
        </w:tc>
        <w:tc>
          <w:tcPr>
            <w:tcW w:w="1046" w:type="pct"/>
            <w:vAlign w:val="center"/>
          </w:tcPr>
          <w:p w14:paraId="353C39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脊髓、脑的结构；主要神经传导通路；眼、耳的结构与功能。</w:t>
            </w:r>
          </w:p>
        </w:tc>
        <w:tc>
          <w:tcPr>
            <w:tcW w:w="864" w:type="pct"/>
            <w:vAlign w:val="center"/>
          </w:tcPr>
          <w:p w14:paraId="35A5EF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能辨识脑、脊髓主要结构模型；能进行简单的神经反射实验。</w:t>
            </w:r>
          </w:p>
        </w:tc>
        <w:tc>
          <w:tcPr>
            <w:tcW w:w="817" w:type="pct"/>
            <w:vAlign w:val="center"/>
          </w:tcPr>
          <w:p w14:paraId="595567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探索大脑奥秘的科学精神；关爱残障动物（感官功能）。</w:t>
            </w:r>
          </w:p>
        </w:tc>
        <w:tc>
          <w:tcPr>
            <w:tcW w:w="591" w:type="pct"/>
            <w:vAlign w:val="center"/>
          </w:tcPr>
          <w:p w14:paraId="5429FAF8">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B11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6E45B3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 内分泌系统</w:t>
            </w:r>
          </w:p>
        </w:tc>
        <w:tc>
          <w:tcPr>
            <w:tcW w:w="860" w:type="pct"/>
            <w:vAlign w:val="center"/>
          </w:tcPr>
          <w:p w14:paraId="2EE1D9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主要内分泌腺与激素</w:t>
            </w:r>
          </w:p>
        </w:tc>
        <w:tc>
          <w:tcPr>
            <w:tcW w:w="1046" w:type="pct"/>
            <w:vAlign w:val="center"/>
          </w:tcPr>
          <w:p w14:paraId="49CC38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主要内分泌腺（垂体、甲状腺、肾上腺等）的位置与结构；主要激素的功能及调节。</w:t>
            </w:r>
          </w:p>
        </w:tc>
        <w:tc>
          <w:tcPr>
            <w:tcW w:w="864" w:type="pct"/>
            <w:vAlign w:val="center"/>
          </w:tcPr>
          <w:p w14:paraId="33E424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能指出主要内分泌腺在模型或标本上的位置；能举例说明激素调节的实例。</w:t>
            </w:r>
          </w:p>
        </w:tc>
        <w:tc>
          <w:tcPr>
            <w:tcW w:w="817" w:type="pct"/>
            <w:vAlign w:val="center"/>
          </w:tcPr>
          <w:p w14:paraId="3FDEF2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机体调节的“和谐”之美；系统思维。</w:t>
            </w:r>
          </w:p>
        </w:tc>
        <w:tc>
          <w:tcPr>
            <w:tcW w:w="591" w:type="pct"/>
            <w:vAlign w:val="center"/>
          </w:tcPr>
          <w:p w14:paraId="0C854AA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68D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14:paraId="664D0D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12.体温调节与家禽解剖生理特点</w:t>
            </w:r>
          </w:p>
        </w:tc>
        <w:tc>
          <w:tcPr>
            <w:tcW w:w="860" w:type="pct"/>
            <w:vAlign w:val="center"/>
          </w:tcPr>
          <w:p w14:paraId="26F0E2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12.1 体温调节</w:t>
            </w:r>
          </w:p>
          <w:p w14:paraId="1FD0A1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12.2 家禽解剖生理概要</w:t>
            </w:r>
          </w:p>
        </w:tc>
        <w:tc>
          <w:tcPr>
            <w:tcW w:w="1046" w:type="pct"/>
            <w:vAlign w:val="center"/>
          </w:tcPr>
          <w:p w14:paraId="790220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恒温动物产热与散热；家禽各系统主要特点。</w:t>
            </w:r>
          </w:p>
        </w:tc>
        <w:tc>
          <w:tcPr>
            <w:tcW w:w="864" w:type="pct"/>
            <w:vAlign w:val="center"/>
          </w:tcPr>
          <w:p w14:paraId="00219A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能测量并记录动物体温；能比较家禽与家畜某些系统的异同。</w:t>
            </w:r>
          </w:p>
        </w:tc>
        <w:tc>
          <w:tcPr>
            <w:tcW w:w="817" w:type="pct"/>
            <w:vAlign w:val="center"/>
          </w:tcPr>
          <w:p w14:paraId="44378B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适应与进化观点；学以致用，服务特色养殖。</w:t>
            </w:r>
          </w:p>
        </w:tc>
        <w:tc>
          <w:tcPr>
            <w:tcW w:w="591" w:type="pct"/>
            <w:vAlign w:val="center"/>
          </w:tcPr>
          <w:p w14:paraId="107DB3A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14:paraId="7A52245E">
      <w:pPr>
        <w:pStyle w:val="3"/>
        <w:numPr>
          <w:ilvl w:val="0"/>
          <w:numId w:val="2"/>
        </w:numPr>
        <w:bidi w:val="0"/>
        <w:ind w:left="420" w:leftChars="0" w:firstLineChars="0"/>
        <w:rPr>
          <w:rFonts w:hint="eastAsia"/>
          <w:lang w:val="en-US" w:eastAsia="zh-CN"/>
        </w:rPr>
      </w:pPr>
      <w:r>
        <w:rPr>
          <w:rFonts w:hint="eastAsia"/>
          <w:lang w:val="en-US" w:eastAsia="zh-CN"/>
        </w:rPr>
        <w:t>课程考核与评价</w:t>
      </w:r>
    </w:p>
    <w:p w14:paraId="21A7C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40"/>
        <w:gridCol w:w="2165"/>
        <w:gridCol w:w="1347"/>
        <w:gridCol w:w="3637"/>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9B3A55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75719E37">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3E3599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728E01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549E016E">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60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A7E06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83A0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53D0A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2817FC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D710C11">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80585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3DDDB75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C4042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338754C">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2AA9E0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F712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如模拟兽医诊断）、虚拟仿真实训、解剖实操训练等形式，提高学生学习主动性和实践能力。</w:t>
      </w:r>
    </w:p>
    <w:p w14:paraId="4ABD79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28375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解剖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1F7E95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61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9D63A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动物解剖或生理相关教学经验与实践经历。鼓励聘请行业企业资深兽医、技术专家担任兼职教师，承担部分实践教学或讲座。团队结构（职称、年龄、专兼职）合理。</w:t>
      </w:r>
    </w:p>
    <w:p w14:paraId="347E1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11D59C8">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4D4212B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0D6C99BB">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动物解剖实验室：通风橱、解剖台、各类解剖器械。符合生物安全与废弃物处理要求。</w:t>
      </w:r>
    </w:p>
    <w:p w14:paraId="5C410BE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标本室：浸泡标本、骨骼标本、塑化标本、各系统器官模型等。</w:t>
      </w:r>
    </w:p>
    <w:p w14:paraId="4C519D65">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显微互动实验室：配备显微镜、显微成像系统、组织切片等。</w:t>
      </w:r>
    </w:p>
    <w:p w14:paraId="6540C349">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虚拟仿真实训室：安装动物解剖生理虚拟仿真软件。</w:t>
      </w:r>
    </w:p>
    <w:p w14:paraId="20331A33">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731FD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（1）基本教学资源：课程标准、授课计划、教案、课件、习题集、实验指导书、参考书、考核方案等；骨骼标本、器官标本、动物模型、图谱、挂图。</w:t>
      </w:r>
    </w:p>
    <w:p w14:paraId="557A5A6C">
      <w:pPr>
        <w:keepNext w:val="0"/>
        <w:keepLines w:val="0"/>
        <w:pageBreakBefore w:val="0"/>
        <w:widowControl w:val="0"/>
        <w:kinsoku/>
        <w:wordWrap/>
        <w:overflowPunct/>
        <w:topLinePunct w:val="0"/>
        <w:autoSpaceDE/>
        <w:autoSpaceDN/>
        <w:bidi w:val="0"/>
        <w:spacing w:line="440" w:lineRule="exact"/>
        <w:textAlignment w:val="auto"/>
      </w:pPr>
      <w:r>
        <w:rPr>
          <w:rFonts w:hint="eastAsia" w:ascii="宋体" w:hAnsi="宋体" w:eastAsia="宋体" w:cs="宋体"/>
          <w:sz w:val="24"/>
          <w:szCs w:val="24"/>
          <w:lang w:val="en-US" w:eastAsia="zh-CN"/>
        </w:rPr>
        <w:t>数字教学资源：建设或选用精品在线开放课程资源库；开发或收集高质量微课视频、三维动画（展示动态生理过程或复杂结构）、虚拟仿真实验项目；建立标本、切片数字图像库；利用专业数据库、学术网站链接拓展学习资源。</w:t>
      </w:r>
      <w:r>
        <w:rPr>
          <w:rFonts w:ascii="宋体" w:hAnsi="宋体" w:eastAsia="宋体" w:cs="宋体"/>
          <w:sz w:val="24"/>
        </w:rPr>
        <w:br w:type="page"/>
      </w:r>
    </w:p>
    <w:bookmarkEnd w:id="15"/>
    <w:p w14:paraId="091E3CBE">
      <w:pPr>
        <w:pStyle w:val="2"/>
        <w:bidi w:val="0"/>
        <w:jc w:val="center"/>
        <w:rPr>
          <w:rFonts w:hint="eastAsia"/>
          <w:lang w:val="en-US" w:eastAsia="zh-CN"/>
        </w:rPr>
      </w:pPr>
      <w:bookmarkStart w:id="16" w:name="_Toc10159"/>
      <w:bookmarkStart w:id="17" w:name="_Toc12894"/>
      <w:r>
        <w:rPr>
          <w:rFonts w:hint="eastAsia"/>
          <w:lang w:val="en-US" w:eastAsia="zh-CN"/>
        </w:rPr>
        <w:t>《动物微生物与免疫技术》课程标准</w:t>
      </w:r>
      <w:bookmarkEnd w:id="16"/>
      <w:bookmarkEnd w:id="17"/>
    </w:p>
    <w:p w14:paraId="23115783">
      <w:pPr>
        <w:bidi w:val="0"/>
        <w:rPr>
          <w:rFonts w:hint="eastAsia" w:ascii="黑体" w:hAnsi="黑体" w:eastAsia="黑体" w:cs="黑体"/>
          <w:sz w:val="28"/>
          <w:szCs w:val="28"/>
        </w:rPr>
      </w:pPr>
      <w:r>
        <w:rPr>
          <w:rFonts w:hint="eastAsia" w:ascii="黑体" w:hAnsi="黑体" w:eastAsia="黑体" w:cs="黑体"/>
          <w:sz w:val="28"/>
          <w:szCs w:val="28"/>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01"/>
        <w:gridCol w:w="1638"/>
        <w:gridCol w:w="940"/>
        <w:gridCol w:w="1001"/>
        <w:gridCol w:w="3136"/>
      </w:tblGrid>
      <w:tr w14:paraId="39C5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4DEFBA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ABE186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动物微生物免与免疫技术</w:t>
            </w:r>
          </w:p>
        </w:tc>
        <w:tc>
          <w:tcPr>
            <w:tcW w:w="975" w:type="dxa"/>
            <w:tcBorders>
              <w:top w:val="single" w:color="auto" w:sz="4" w:space="0"/>
              <w:left w:val="single" w:color="auto" w:sz="4" w:space="0"/>
              <w:bottom w:val="single" w:color="auto" w:sz="4" w:space="0"/>
              <w:right w:val="single" w:color="auto" w:sz="4" w:space="0"/>
            </w:tcBorders>
            <w:vAlign w:val="center"/>
          </w:tcPr>
          <w:p w14:paraId="778E2E7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8BE16C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xcxm24002</w:t>
            </w:r>
          </w:p>
        </w:tc>
      </w:tr>
      <w:tr w14:paraId="07FB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FB944B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C5D8AD0">
            <w:pPr>
              <w:jc w:val="center"/>
              <w:rPr>
                <w:rFonts w:hint="default" w:eastAsiaTheme="minorEastAsia"/>
                <w:sz w:val="21"/>
                <w:szCs w:val="21"/>
                <w:lang w:val="en-US" w:eastAsia="zh-CN"/>
              </w:rPr>
            </w:pPr>
            <w:r>
              <w:rPr>
                <w:rFonts w:hint="eastAsia"/>
                <w:sz w:val="21"/>
                <w:szCs w:val="21"/>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0A0E07BA">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D4A4463">
            <w:pPr>
              <w:jc w:val="center"/>
              <w:rPr>
                <w:rFonts w:hint="eastAsia"/>
                <w:sz w:val="21"/>
                <w:szCs w:val="21"/>
                <w:lang w:val="en-US" w:eastAsia="zh-CN"/>
              </w:rPr>
            </w:pPr>
            <w:r>
              <w:rPr>
                <w:rFonts w:hint="eastAsia"/>
                <w:sz w:val="21"/>
                <w:szCs w:val="21"/>
                <w:lang w:val="en-US" w:eastAsia="zh-CN"/>
              </w:rPr>
              <w:t>16学时</w:t>
            </w:r>
          </w:p>
        </w:tc>
        <w:tc>
          <w:tcPr>
            <w:tcW w:w="975" w:type="dxa"/>
            <w:tcBorders>
              <w:top w:val="single" w:color="auto" w:sz="4" w:space="0"/>
              <w:left w:val="single" w:color="auto" w:sz="4" w:space="0"/>
              <w:bottom w:val="single" w:color="auto" w:sz="4" w:space="0"/>
              <w:right w:val="single" w:color="auto" w:sz="4" w:space="0"/>
            </w:tcBorders>
            <w:vAlign w:val="center"/>
          </w:tcPr>
          <w:p w14:paraId="5F3DAD0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3D827D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144B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04E86E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A8D554C">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畜牧兽医专业</w:t>
            </w:r>
          </w:p>
        </w:tc>
      </w:tr>
      <w:tr w14:paraId="2DE7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CA63F0D">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5EBAB35">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8B0752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432AD4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410DF8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DC5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15F035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2DB2603">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动物解剖生理等</w:t>
            </w:r>
          </w:p>
        </w:tc>
      </w:tr>
      <w:tr w14:paraId="368A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ECB7C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D711216">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动物病理、</w:t>
            </w:r>
            <w:r>
              <w:rPr>
                <w:rFonts w:hint="eastAsia" w:ascii="Arial" w:hAnsi="Arial" w:eastAsia="宋体" w:cs="Arial"/>
                <w:color w:val="auto"/>
                <w:sz w:val="21"/>
                <w:szCs w:val="21"/>
                <w:lang w:val="en-US" w:eastAsia="zh-CN"/>
              </w:rPr>
              <w:t>动物药理、</w:t>
            </w:r>
            <w:r>
              <w:rPr>
                <w:rFonts w:hint="default" w:ascii="Arial" w:hAnsi="Arial" w:eastAsia="宋体" w:cs="Arial"/>
                <w:color w:val="auto"/>
                <w:sz w:val="21"/>
                <w:szCs w:val="21"/>
                <w:lang w:val="en-US" w:eastAsia="zh-CN"/>
              </w:rPr>
              <w:t>动物临床诊疗</w:t>
            </w:r>
            <w:r>
              <w:rPr>
                <w:rFonts w:hint="eastAsia" w:ascii="Arial" w:hAnsi="Arial" w:eastAsia="宋体" w:cs="Arial"/>
                <w:color w:val="auto"/>
                <w:sz w:val="21"/>
                <w:szCs w:val="21"/>
                <w:lang w:val="en-US" w:eastAsia="zh-CN"/>
              </w:rPr>
              <w:t>、动物传染病</w:t>
            </w:r>
            <w:r>
              <w:rPr>
                <w:rFonts w:hint="default" w:ascii="Arial" w:hAnsi="Arial" w:eastAsia="宋体" w:cs="Arial"/>
                <w:color w:val="auto"/>
                <w:sz w:val="21"/>
                <w:szCs w:val="21"/>
                <w:lang w:val="en-US" w:eastAsia="zh-CN"/>
              </w:rPr>
              <w:t>等</w:t>
            </w:r>
          </w:p>
        </w:tc>
      </w:tr>
      <w:tr w14:paraId="22F7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CB7199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8D7D49A">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动物微生物与免疫技术</w:t>
            </w:r>
            <w:r>
              <w:rPr>
                <w:rFonts w:ascii="Arial" w:hAnsi="Arial" w:eastAsia="宋体" w:cs="Arial"/>
                <w:sz w:val="21"/>
                <w:szCs w:val="21"/>
              </w:rPr>
              <w:t>》（</w:t>
            </w:r>
            <w:r>
              <w:rPr>
                <w:rFonts w:hint="eastAsia" w:ascii="Arial" w:hAnsi="Arial" w:eastAsia="宋体" w:cs="Arial"/>
                <w:sz w:val="21"/>
                <w:szCs w:val="21"/>
                <w:lang w:val="en-US" w:eastAsia="zh-CN"/>
              </w:rPr>
              <w:t>作者李舫</w:t>
            </w:r>
            <w:r>
              <w:rPr>
                <w:rFonts w:hint="eastAsia" w:ascii="Arial" w:hAnsi="Arial" w:eastAsia="宋体" w:cs="Arial"/>
                <w:sz w:val="21"/>
                <w:szCs w:val="21"/>
              </w:rPr>
              <w:t>，</w:t>
            </w:r>
            <w:r>
              <w:rPr>
                <w:rFonts w:hint="eastAsia" w:ascii="Arial" w:hAnsi="Arial" w:eastAsia="宋体" w:cs="Arial"/>
                <w:sz w:val="21"/>
                <w:szCs w:val="21"/>
                <w:lang w:val="en-US" w:eastAsia="zh-CN"/>
              </w:rPr>
              <w:t>出版社中国农业出版社，出版年份2025，ISBN978-7-109-33265-2号</w:t>
            </w:r>
            <w:r>
              <w:rPr>
                <w:rFonts w:ascii="Arial" w:hAnsi="Arial" w:eastAsia="宋体" w:cs="Arial"/>
                <w:sz w:val="21"/>
                <w:szCs w:val="21"/>
              </w:rPr>
              <w:t>)</w:t>
            </w:r>
          </w:p>
        </w:tc>
      </w:tr>
      <w:tr w14:paraId="2435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5DD1C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79D308D">
            <w:pPr>
              <w:widowControl/>
              <w:jc w:val="left"/>
              <w:rPr>
                <w:rFonts w:hint="eastAsia" w:eastAsiaTheme="minorEastAsia"/>
                <w:sz w:val="21"/>
                <w:szCs w:val="21"/>
                <w:lang w:val="en-US" w:eastAsia="zh-CN"/>
              </w:rPr>
            </w:pPr>
            <w:r>
              <w:rPr>
                <w:rFonts w:hint="eastAsia"/>
                <w:sz w:val="21"/>
                <w:szCs w:val="21"/>
                <w:lang w:val="en-US" w:eastAsia="zh-CN"/>
              </w:rPr>
              <w:t>房新</w:t>
            </w:r>
          </w:p>
        </w:tc>
        <w:tc>
          <w:tcPr>
            <w:tcW w:w="975" w:type="dxa"/>
            <w:tcBorders>
              <w:top w:val="single" w:color="auto" w:sz="4" w:space="0"/>
              <w:left w:val="single" w:color="auto" w:sz="4" w:space="0"/>
              <w:bottom w:val="single" w:color="auto" w:sz="4" w:space="0"/>
              <w:right w:val="single" w:color="auto" w:sz="4" w:space="0"/>
            </w:tcBorders>
            <w:vAlign w:val="center"/>
          </w:tcPr>
          <w:p w14:paraId="0809965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84335A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D6A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BE55F8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A0CCA64">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1AF9117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61C5659">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436FC58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6126CC5">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二、课程定位</w:t>
      </w:r>
    </w:p>
    <w:p w14:paraId="40931E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spacing w:val="0"/>
          <w:sz w:val="24"/>
          <w:szCs w:val="24"/>
          <w:shd w:val="clear" w:fill="FFFFFF"/>
        </w:rPr>
        <w:t>动物微生物与免疫技术是畜牧兽医专业的</w:t>
      </w:r>
      <w:r>
        <w:rPr>
          <w:rFonts w:hint="eastAsia" w:ascii="Segoe UI" w:hAnsi="Segoe UI" w:eastAsia="宋体" w:cs="Segoe UI"/>
          <w:i w:val="0"/>
          <w:iCs w:val="0"/>
          <w:caps w:val="0"/>
          <w:spacing w:val="0"/>
          <w:sz w:val="24"/>
          <w:szCs w:val="24"/>
          <w:shd w:val="clear" w:fill="FFFFFF"/>
          <w:lang w:val="en-US" w:eastAsia="zh-CN"/>
        </w:rPr>
        <w:t>核心基础课</w:t>
      </w:r>
      <w:r>
        <w:rPr>
          <w:rFonts w:hint="default" w:ascii="Segoe UI" w:hAnsi="Segoe UI" w:eastAsia="Segoe UI" w:cs="Segoe UI"/>
          <w:i w:val="0"/>
          <w:iCs w:val="0"/>
          <w:caps w:val="0"/>
          <w:spacing w:val="0"/>
          <w:sz w:val="24"/>
          <w:szCs w:val="24"/>
          <w:shd w:val="clear" w:fill="FFFFFF"/>
        </w:rPr>
        <w:t>，兼具理论性与实践性，是衔接基础生物课程与专业核心课程的关键桥梁，通常在《动物解剖生理》《动物生物化学》等前置课程后开设，为后续《动物传染病》《动物寄生虫病》《动物疫病防治技术》等课程提供核心理论与技能支撑。</w:t>
      </w:r>
      <w:r>
        <w:rPr>
          <w:rFonts w:hint="eastAsia" w:ascii="宋体" w:hAnsi="宋体" w:eastAsia="宋体" w:cs="宋体"/>
          <w:sz w:val="24"/>
          <w:szCs w:val="24"/>
          <w:lang w:val="en-US" w:eastAsia="zh-CN"/>
        </w:rPr>
        <w:t>课程对接专业人才培养目标，面向畜牧养殖、动物诊疗、宠物医疗等岗位，培养学生具备扎实的动物机体结构与功能认知，掌握微生物检测技能，具备严谨求实的科学态度和良好的职业素养。课程为后续动物病理学、动物药理学、兽医临床诊疗技术等课程的学习奠定必要基础。同时，将课程思政内容融入教学全过程，引导学生树立正确的生命观、科学观和职业道德观。</w:t>
      </w:r>
    </w:p>
    <w:p w14:paraId="51AD5B99">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三、课程设计思路</w:t>
      </w:r>
    </w:p>
    <w:p w14:paraId="285B9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本课程设计遵循“学生中心、产出导向、持续改进”的OBE教育理念。教学内容依据专业人才培养方案、行业技术标准及相关教材确定，从</w:t>
      </w:r>
      <w:r>
        <w:rPr>
          <w:rFonts w:hint="eastAsia" w:asciiTheme="minorEastAsia" w:hAnsiTheme="minorEastAsia" w:cstheme="minorEastAsia"/>
          <w:sz w:val="24"/>
          <w:szCs w:val="24"/>
          <w:lang w:val="en-US" w:eastAsia="zh-CN"/>
        </w:rPr>
        <w:t>微生物物</w:t>
      </w:r>
      <w:r>
        <w:rPr>
          <w:rFonts w:hint="eastAsia" w:asciiTheme="minorEastAsia" w:hAnsiTheme="minorEastAsia" w:eastAsiaTheme="minorEastAsia" w:cstheme="minorEastAsia"/>
          <w:sz w:val="24"/>
          <w:szCs w:val="24"/>
          <w:lang w:val="en-US" w:eastAsia="zh-CN"/>
        </w:rPr>
        <w:t>形态结构到生理功能，</w:t>
      </w:r>
      <w:r>
        <w:rPr>
          <w:rFonts w:hint="eastAsia" w:asciiTheme="minorEastAsia" w:hAnsiTheme="minorEastAsia" w:cstheme="minorEastAsia"/>
          <w:sz w:val="24"/>
          <w:szCs w:val="24"/>
          <w:lang w:val="en-US" w:eastAsia="zh-CN"/>
        </w:rPr>
        <w:t>到免疫学认知</w:t>
      </w:r>
      <w:r>
        <w:rPr>
          <w:rFonts w:hint="eastAsia" w:asciiTheme="minorEastAsia" w:hAnsiTheme="minorEastAsia" w:eastAsiaTheme="minorEastAsia" w:cstheme="minorEastAsia"/>
          <w:sz w:val="24"/>
          <w:szCs w:val="24"/>
          <w:lang w:val="en-US" w:eastAsia="zh-CN"/>
        </w:rPr>
        <w:t>，循序渐进。教学过程中注重理论与实践紧密结合，强化学生对动物机体整体性与系统性的理解。</w:t>
      </w:r>
    </w:p>
    <w:p w14:paraId="2CF8A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教学形式上，理论教学采用多媒体课件、实体模型、动画演示等多种手段，结合案例分析与课堂讨论；实践教学通过实验室操作、虚拟仿真软件、</w:t>
      </w:r>
      <w:r>
        <w:rPr>
          <w:rFonts w:hint="eastAsia" w:asciiTheme="minorEastAsia" w:hAnsiTheme="minorEastAsia" w:cstheme="minorEastAsia"/>
          <w:sz w:val="24"/>
          <w:szCs w:val="24"/>
          <w:lang w:val="en-US" w:eastAsia="zh-CN"/>
        </w:rPr>
        <w:t>实体动物检测</w:t>
      </w:r>
      <w:r>
        <w:rPr>
          <w:rFonts w:hint="eastAsia" w:asciiTheme="minorEastAsia" w:hAnsiTheme="minorEastAsia" w:eastAsiaTheme="minorEastAsia" w:cstheme="minorEastAsia"/>
          <w:sz w:val="24"/>
          <w:szCs w:val="24"/>
          <w:lang w:val="en-US" w:eastAsia="zh-CN"/>
        </w:rPr>
        <w:t>等方式开展，提升学生的实践动手能力和直观认知。探索“课堂讲授+实验实训”的多元教学模式。</w:t>
      </w:r>
    </w:p>
    <w:p w14:paraId="73E9C6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职业院校技能大赛、大学生创新创业大赛等相关内容，推动“岗课赛证”融通培养。课程思政方面，挖掘</w:t>
      </w:r>
      <w:r>
        <w:rPr>
          <w:rFonts w:hint="eastAsia" w:asciiTheme="minorEastAsia" w:hAnsiTheme="minorEastAsia" w:cstheme="minorEastAsia"/>
          <w:sz w:val="24"/>
          <w:szCs w:val="24"/>
          <w:lang w:val="en-US" w:eastAsia="zh-CN"/>
        </w:rPr>
        <w:t>微生物学</w:t>
      </w:r>
      <w:r>
        <w:rPr>
          <w:rFonts w:hint="eastAsia" w:asciiTheme="minorEastAsia" w:hAnsiTheme="minorEastAsia" w:eastAsiaTheme="minorEastAsia" w:cstheme="minorEastAsia"/>
          <w:sz w:val="24"/>
          <w:szCs w:val="24"/>
          <w:lang w:val="en-US" w:eastAsia="zh-CN"/>
        </w:rPr>
        <w:t>领域的科学家精神、兽医职业道德、动物福利理念、生态文明意识等思政元素，通过讲述我国畜牧兽医事业发展成就、行业模范事迹等，培养学生“知农爱农、强牧兴牧”的家国情怀和“精益求精、尊重生命”的职业精神。</w:t>
      </w:r>
    </w:p>
    <w:p w14:paraId="50773A3B">
      <w:pPr>
        <w:bidi w:val="0"/>
        <w:rPr>
          <w:rFonts w:hint="eastAsia" w:asciiTheme="minorEastAsia" w:hAnsiTheme="minorEastAsia" w:eastAsiaTheme="minorEastAsia" w:cstheme="minorEastAsia"/>
          <w:sz w:val="24"/>
          <w:szCs w:val="24"/>
          <w:lang w:val="en-US" w:eastAsia="zh-CN"/>
        </w:rPr>
      </w:pPr>
      <w:r>
        <w:rPr>
          <w:rFonts w:hint="eastAsia" w:ascii="黑体" w:hAnsi="黑体" w:eastAsia="黑体" w:cs="黑体"/>
          <w:sz w:val="28"/>
          <w:szCs w:val="28"/>
          <w:lang w:val="en-US" w:eastAsia="zh-CN"/>
        </w:rPr>
        <w:t>四、课程目标</w:t>
      </w:r>
    </w:p>
    <w:p w14:paraId="2F39A0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09F7D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 </w:t>
      </w:r>
      <w:r>
        <w:rPr>
          <w:rFonts w:hint="eastAsia" w:asciiTheme="minorEastAsia" w:hAnsiTheme="minorEastAsia" w:cstheme="minorEastAsia"/>
          <w:sz w:val="24"/>
          <w:szCs w:val="24"/>
          <w:lang w:val="en-US" w:eastAsia="zh-CN"/>
        </w:rPr>
        <w:t>能识别</w:t>
      </w:r>
      <w:r>
        <w:rPr>
          <w:rFonts w:ascii="Segoe UI" w:hAnsi="Segoe UI" w:eastAsia="Segoe UI" w:cs="Segoe UI"/>
          <w:i w:val="0"/>
          <w:iCs w:val="0"/>
          <w:caps w:val="0"/>
          <w:spacing w:val="0"/>
          <w:sz w:val="24"/>
          <w:szCs w:val="24"/>
          <w:shd w:val="clear" w:fill="FFFFFF"/>
        </w:rPr>
        <w:t>细菌、病毒、真菌、支原体等常见动物病原微生物的形态结构、生理代谢特性及培养条件</w:t>
      </w:r>
      <w:r>
        <w:rPr>
          <w:rFonts w:hint="eastAsia" w:asciiTheme="minorEastAsia" w:hAnsiTheme="minorEastAsia" w:eastAsiaTheme="minorEastAsia" w:cstheme="minorEastAsia"/>
          <w:sz w:val="24"/>
          <w:szCs w:val="24"/>
          <w:lang w:val="en-US" w:eastAsia="zh-CN"/>
        </w:rPr>
        <w:t>。</w:t>
      </w:r>
    </w:p>
    <w:p w14:paraId="150931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熟悉</w:t>
      </w:r>
      <w:r>
        <w:rPr>
          <w:rFonts w:hint="eastAsia" w:asciiTheme="minorEastAsia" w:hAnsiTheme="minorEastAsia" w:cstheme="minorEastAsia"/>
          <w:sz w:val="24"/>
          <w:szCs w:val="24"/>
          <w:lang w:val="en-US" w:eastAsia="zh-CN"/>
        </w:rPr>
        <w:t>不同微生物</w:t>
      </w:r>
      <w:r>
        <w:rPr>
          <w:rFonts w:hint="eastAsia" w:asciiTheme="minorEastAsia" w:hAnsiTheme="minorEastAsia" w:eastAsiaTheme="minorEastAsia" w:cstheme="minorEastAsia"/>
          <w:sz w:val="24"/>
          <w:szCs w:val="24"/>
          <w:lang w:val="en-US" w:eastAsia="zh-CN"/>
        </w:rPr>
        <w:t>的显微结构特点。</w:t>
      </w:r>
    </w:p>
    <w:p w14:paraId="566E7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掌握</w:t>
      </w:r>
      <w:r>
        <w:rPr>
          <w:rFonts w:hint="eastAsia" w:asciiTheme="minorEastAsia" w:hAnsiTheme="minorEastAsia" w:cstheme="minorEastAsia"/>
          <w:sz w:val="24"/>
          <w:szCs w:val="24"/>
          <w:lang w:val="en-US" w:eastAsia="zh-CN"/>
        </w:rPr>
        <w:t>不同致病性细菌、病毒的鉴别要点</w:t>
      </w:r>
      <w:r>
        <w:rPr>
          <w:rFonts w:hint="eastAsia" w:asciiTheme="minorEastAsia" w:hAnsiTheme="minorEastAsia" w:eastAsiaTheme="minorEastAsia" w:cstheme="minorEastAsia"/>
          <w:sz w:val="24"/>
          <w:szCs w:val="24"/>
          <w:lang w:val="en-US" w:eastAsia="zh-CN"/>
        </w:rPr>
        <w:t>。</w:t>
      </w:r>
    </w:p>
    <w:p w14:paraId="137AC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理解</w:t>
      </w:r>
      <w:r>
        <w:rPr>
          <w:rFonts w:hint="eastAsia" w:asciiTheme="minorEastAsia" w:hAnsiTheme="minorEastAsia" w:cstheme="minorEastAsia"/>
          <w:sz w:val="24"/>
          <w:szCs w:val="24"/>
          <w:lang w:val="en-US" w:eastAsia="zh-CN"/>
        </w:rPr>
        <w:t>四种变态反应的特点</w:t>
      </w:r>
      <w:r>
        <w:rPr>
          <w:rFonts w:hint="eastAsia" w:asciiTheme="minorEastAsia" w:hAnsiTheme="minorEastAsia" w:eastAsiaTheme="minorEastAsia" w:cstheme="minorEastAsia"/>
          <w:sz w:val="24"/>
          <w:szCs w:val="24"/>
          <w:lang w:val="en-US" w:eastAsia="zh-CN"/>
        </w:rPr>
        <w:t>。</w:t>
      </w:r>
    </w:p>
    <w:p w14:paraId="1F231A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cstheme="minorEastAsia"/>
          <w:sz w:val="24"/>
          <w:szCs w:val="24"/>
          <w:lang w:val="en-US" w:eastAsia="zh-CN"/>
        </w:rPr>
        <w:t>掌握免疫系统的功能、作用机理</w:t>
      </w:r>
      <w:r>
        <w:rPr>
          <w:rFonts w:hint="eastAsia" w:ascii="宋体" w:hAnsi="宋体" w:eastAsia="宋体" w:cs="宋体"/>
          <w:sz w:val="24"/>
          <w:szCs w:val="24"/>
          <w:lang w:val="en-US" w:eastAsia="zh-CN"/>
        </w:rPr>
        <w:t>。</w:t>
      </w:r>
    </w:p>
    <w:p w14:paraId="15821A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22A5C5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能微生物进行分类、识别、灭菌以及培养</w:t>
      </w:r>
      <w:r>
        <w:rPr>
          <w:rFonts w:hint="eastAsia" w:asciiTheme="minorEastAsia" w:hAnsiTheme="minorEastAsia" w:eastAsiaTheme="minorEastAsia" w:cstheme="minorEastAsia"/>
          <w:sz w:val="24"/>
          <w:szCs w:val="24"/>
          <w:lang w:val="en-US" w:eastAsia="zh-CN"/>
        </w:rPr>
        <w:t xml:space="preserve"> 。</w:t>
      </w:r>
    </w:p>
    <w:p w14:paraId="4DE169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 </w:t>
      </w:r>
      <w:r>
        <w:rPr>
          <w:rFonts w:ascii="Segoe UI" w:hAnsi="Segoe UI" w:eastAsia="Segoe UI" w:cs="Segoe UI"/>
          <w:i w:val="0"/>
          <w:iCs w:val="0"/>
          <w:caps w:val="0"/>
          <w:spacing w:val="0"/>
          <w:sz w:val="24"/>
          <w:szCs w:val="24"/>
          <w:shd w:val="clear" w:fill="FFFFFF"/>
        </w:rPr>
        <w:t>理解动物免疫系统的组成（免疫器官、免疫细胞、免疫分子）与功能，掌握非特异性免疫、特异性免疫（体液免疫、细胞免疫）的作用机制与应答过程</w:t>
      </w:r>
      <w:r>
        <w:rPr>
          <w:rFonts w:hint="eastAsia" w:asciiTheme="minorEastAsia" w:hAnsiTheme="minorEastAsia" w:eastAsiaTheme="minorEastAsia" w:cstheme="minorEastAsia"/>
          <w:sz w:val="24"/>
          <w:szCs w:val="24"/>
          <w:lang w:val="en-US" w:eastAsia="zh-CN"/>
        </w:rPr>
        <w:t>。</w:t>
      </w:r>
    </w:p>
    <w:p w14:paraId="16CA14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 </w:t>
      </w:r>
      <w:r>
        <w:rPr>
          <w:rFonts w:ascii="Segoe UI" w:hAnsi="Segoe UI" w:eastAsia="Segoe UI" w:cs="Segoe UI"/>
          <w:i w:val="0"/>
          <w:iCs w:val="0"/>
          <w:caps w:val="0"/>
          <w:spacing w:val="0"/>
          <w:sz w:val="24"/>
          <w:szCs w:val="24"/>
          <w:shd w:val="clear" w:fill="FFFFFF"/>
        </w:rPr>
        <w:t>掌握动物病原微生物的致病机制（如细菌毒素作用、病毒侵袭与增殖过程）、传播途径及与宿主的相互作用关系，明晰微生物致病性的影响因素</w:t>
      </w:r>
      <w:r>
        <w:rPr>
          <w:rFonts w:hint="eastAsia" w:asciiTheme="minorEastAsia" w:hAnsiTheme="minorEastAsia" w:eastAsiaTheme="minorEastAsia" w:cstheme="minorEastAsia"/>
          <w:sz w:val="24"/>
          <w:szCs w:val="24"/>
          <w:lang w:val="en-US" w:eastAsia="zh-CN"/>
        </w:rPr>
        <w:t>。</w:t>
      </w:r>
    </w:p>
    <w:p w14:paraId="5CA380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 </w:t>
      </w:r>
      <w:r>
        <w:rPr>
          <w:rFonts w:ascii="Segoe UI" w:hAnsi="Segoe UI" w:eastAsia="Segoe UI" w:cs="Segoe UI"/>
          <w:i w:val="0"/>
          <w:iCs w:val="0"/>
          <w:caps w:val="0"/>
          <w:spacing w:val="0"/>
          <w:sz w:val="24"/>
          <w:szCs w:val="24"/>
          <w:shd w:val="clear" w:fill="FFFFFF"/>
        </w:rPr>
        <w:t>熟知疫苗的种类（活疫苗、灭活疫苗、亚单位疫苗等）、制备原理、保存条件及免疫接种的基本原理，掌握血清学检测技术（凝集试验、沉淀试验、ELISA 等）的核心原理与适用场景</w:t>
      </w:r>
      <w:r>
        <w:rPr>
          <w:rFonts w:hint="eastAsia" w:asciiTheme="minorEastAsia" w:hAnsiTheme="minorEastAsia" w:eastAsiaTheme="minorEastAsia" w:cstheme="minorEastAsia"/>
          <w:sz w:val="24"/>
          <w:szCs w:val="24"/>
          <w:lang w:val="en-US" w:eastAsia="zh-CN"/>
        </w:rPr>
        <w:t>。</w:t>
      </w:r>
    </w:p>
    <w:p w14:paraId="13A70E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具备查阅</w:t>
      </w:r>
      <w:r>
        <w:rPr>
          <w:rFonts w:hint="eastAsia" w:asciiTheme="minorEastAsia" w:hAnsiTheme="minorEastAsia" w:cstheme="minorEastAsia"/>
          <w:sz w:val="24"/>
          <w:szCs w:val="24"/>
          <w:lang w:val="en-US" w:eastAsia="zh-CN"/>
        </w:rPr>
        <w:t>微生物相关知识</w:t>
      </w:r>
      <w:r>
        <w:rPr>
          <w:rFonts w:hint="eastAsia" w:asciiTheme="minorEastAsia" w:hAnsiTheme="minorEastAsia" w:eastAsiaTheme="minorEastAsia" w:cstheme="minorEastAsia"/>
          <w:sz w:val="24"/>
          <w:szCs w:val="24"/>
          <w:lang w:val="en-US" w:eastAsia="zh-CN"/>
        </w:rPr>
        <w:t>资料、获取新知识和信息的基本能力。</w:t>
      </w:r>
    </w:p>
    <w:p w14:paraId="437FD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5F696D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培养学生敬畏生命、爱护动物、严谨认真的科学态度和职业道德。</w:t>
      </w:r>
    </w:p>
    <w:p w14:paraId="1FF750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培养学生吃苦耐劳、团队协作、沟通表达的能力和良好的实验习惯。</w:t>
      </w:r>
    </w:p>
    <w:p w14:paraId="2874AB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培养学生分析问题、解决问题的逻辑思维能力和实践操作中的安全意识。</w:t>
      </w:r>
    </w:p>
    <w:p w14:paraId="11313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培养学生对畜牧兽医专业的认同感和从事本行业工作的初步兴趣与信心。</w:t>
      </w:r>
    </w:p>
    <w:p w14:paraId="7715B0B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1DFE4C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生命教育：引导学生理解生命的神圣与可贵，树立尊重生命、关爱</w:t>
      </w:r>
      <w:r>
        <w:rPr>
          <w:rFonts w:hint="eastAsia" w:asciiTheme="minorEastAsia" w:hAnsiTheme="minorEastAsia" w:cstheme="minorEastAsia"/>
          <w:sz w:val="24"/>
          <w:szCs w:val="24"/>
          <w:lang w:val="en-US" w:eastAsia="zh-CN"/>
        </w:rPr>
        <w:t>生</w:t>
      </w:r>
      <w:r>
        <w:rPr>
          <w:rFonts w:hint="eastAsia" w:asciiTheme="minorEastAsia" w:hAnsiTheme="minorEastAsia" w:eastAsiaTheme="minorEastAsia" w:cstheme="minorEastAsia"/>
          <w:sz w:val="24"/>
          <w:szCs w:val="24"/>
          <w:lang w:val="en-US" w:eastAsia="zh-CN"/>
        </w:rPr>
        <w:t>物的职业理念，培养仁爱之心。</w:t>
      </w:r>
    </w:p>
    <w:p w14:paraId="73C72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科学精神：通过</w:t>
      </w:r>
      <w:r>
        <w:rPr>
          <w:rFonts w:hint="eastAsia" w:asciiTheme="minorEastAsia" w:hAnsiTheme="minorEastAsia" w:cstheme="minorEastAsia"/>
          <w:sz w:val="24"/>
          <w:szCs w:val="24"/>
          <w:lang w:val="en-US" w:eastAsia="zh-CN"/>
        </w:rPr>
        <w:t>微生物</w:t>
      </w:r>
      <w:r>
        <w:rPr>
          <w:rFonts w:hint="eastAsia" w:asciiTheme="minorEastAsia" w:hAnsiTheme="minorEastAsia" w:eastAsiaTheme="minorEastAsia" w:cstheme="minorEastAsia"/>
          <w:sz w:val="24"/>
          <w:szCs w:val="24"/>
          <w:lang w:val="en-US" w:eastAsia="zh-CN"/>
        </w:rPr>
        <w:t>发现史和实验探究，培养学生求真务实、严谨细致、勇于探索的科学精神。</w:t>
      </w:r>
    </w:p>
    <w:p w14:paraId="68DD45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工匠精神：在</w:t>
      </w:r>
      <w:r>
        <w:rPr>
          <w:rFonts w:hint="eastAsia" w:asciiTheme="minorEastAsia" w:hAnsiTheme="minorEastAsia" w:cstheme="minorEastAsia"/>
          <w:sz w:val="24"/>
          <w:szCs w:val="24"/>
          <w:lang w:val="en-US" w:eastAsia="zh-CN"/>
        </w:rPr>
        <w:t>微生物实训</w:t>
      </w:r>
      <w:r>
        <w:rPr>
          <w:rFonts w:hint="eastAsia" w:asciiTheme="minorEastAsia" w:hAnsiTheme="minorEastAsia" w:eastAsiaTheme="minorEastAsia" w:cstheme="minorEastAsia"/>
          <w:sz w:val="24"/>
          <w:szCs w:val="24"/>
          <w:lang w:val="en-US" w:eastAsia="zh-CN"/>
        </w:rPr>
        <w:t>实验中，追求精准、规范、精益求精，培育一丝不苟的工匠品质。</w:t>
      </w:r>
    </w:p>
    <w:p w14:paraId="5A6700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职业道德：树立“爱岗敬业、诚实守信、遵纪守法”的兽医职业道德观，明确行业行为规范和社会责任。</w:t>
      </w:r>
    </w:p>
    <w:p w14:paraId="4F8F89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家国情怀：结合我国现代畜牧业发展成就、动物疫病防控重大贡献案例，增强学生的民族自豪感和“学农报国”的使命感。</w:t>
      </w:r>
    </w:p>
    <w:p w14:paraId="469D4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生态文明：理解健康养殖、动物福利与生态环境保护的关系，树立绿色、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p w14:paraId="71A0DFD6">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884"/>
        <w:gridCol w:w="1631"/>
        <w:gridCol w:w="1537"/>
        <w:gridCol w:w="1957"/>
        <w:gridCol w:w="1119"/>
      </w:tblGrid>
      <w:tr w14:paraId="650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pct"/>
          </w:tcPr>
          <w:p w14:paraId="3E8DB7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5" w:type="pct"/>
          </w:tcPr>
          <w:p w14:paraId="005099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70" w:type="pct"/>
          </w:tcPr>
          <w:p w14:paraId="51D44F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20" w:type="pct"/>
          </w:tcPr>
          <w:p w14:paraId="5EBB70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4" w:type="pct"/>
          </w:tcPr>
          <w:p w14:paraId="30CB01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7" w:type="pct"/>
          </w:tcPr>
          <w:p w14:paraId="16E8F6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66DD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2370715B">
            <w:pPr>
              <w:rPr>
                <w:rFonts w:hint="eastAsia" w:ascii="Arial" w:hAnsi="Arial" w:eastAsia="宋体" w:cs="Arial"/>
                <w:color w:val="auto"/>
                <w:lang w:val="en-US" w:eastAsia="zh-CN"/>
              </w:rPr>
            </w:pPr>
            <w:r>
              <w:rPr>
                <w:rFonts w:hint="eastAsia" w:ascii="Arial" w:hAnsi="Arial" w:eastAsia="宋体" w:cs="Arial"/>
                <w:color w:val="auto"/>
                <w:lang w:val="en-US" w:eastAsia="zh-CN"/>
              </w:rPr>
              <w:t>绪论</w:t>
            </w:r>
          </w:p>
        </w:tc>
        <w:tc>
          <w:tcPr>
            <w:tcW w:w="1005" w:type="pct"/>
          </w:tcPr>
          <w:p w14:paraId="1430B0D3">
            <w:pPr>
              <w:rPr>
                <w:rFonts w:hint="default" w:ascii="Arial" w:hAnsi="Arial" w:eastAsia="宋体" w:cs="Arial"/>
                <w:color w:val="auto"/>
                <w:lang w:val="en-US" w:eastAsia="zh-CN"/>
              </w:rPr>
            </w:pPr>
            <w:r>
              <w:rPr>
                <w:rFonts w:hint="eastAsia" w:ascii="Arial" w:hAnsi="Arial" w:eastAsia="宋体" w:cs="Arial"/>
                <w:color w:val="auto"/>
                <w:lang w:val="en-US" w:eastAsia="zh-CN"/>
              </w:rPr>
              <w:t>微生物学分类及发展史</w:t>
            </w:r>
          </w:p>
        </w:tc>
        <w:tc>
          <w:tcPr>
            <w:tcW w:w="870" w:type="pct"/>
          </w:tcPr>
          <w:p w14:paraId="6C6D87AA">
            <w:pPr>
              <w:rPr>
                <w:rFonts w:hint="eastAsia" w:ascii="Arial" w:hAnsi="Arial" w:eastAsia="宋体" w:cs="Arial"/>
                <w:color w:val="auto"/>
                <w:lang w:val="en-US" w:eastAsia="zh-CN"/>
              </w:rPr>
            </w:pPr>
            <w:r>
              <w:rPr>
                <w:rFonts w:hint="eastAsia" w:ascii="Arial" w:hAnsi="Arial" w:eastAsia="宋体" w:cs="Arial"/>
                <w:color w:val="auto"/>
                <w:lang w:val="en-US" w:eastAsia="zh-CN"/>
              </w:rPr>
              <w:t>微生物的分类；</w:t>
            </w:r>
          </w:p>
          <w:p w14:paraId="1B00235C">
            <w:pPr>
              <w:rPr>
                <w:rFonts w:hint="default" w:ascii="Arial" w:hAnsi="Arial" w:eastAsia="宋体" w:cs="Arial"/>
                <w:color w:val="auto"/>
                <w:lang w:val="en-US" w:eastAsia="zh-CN"/>
              </w:rPr>
            </w:pPr>
            <w:r>
              <w:rPr>
                <w:rFonts w:hint="eastAsia" w:ascii="Arial" w:hAnsi="Arial" w:eastAsia="宋体" w:cs="Arial"/>
                <w:color w:val="auto"/>
                <w:lang w:val="en-US" w:eastAsia="zh-CN"/>
              </w:rPr>
              <w:t>微生物发展史</w:t>
            </w:r>
          </w:p>
        </w:tc>
        <w:tc>
          <w:tcPr>
            <w:tcW w:w="820" w:type="pct"/>
          </w:tcPr>
          <w:p w14:paraId="1B7EF492">
            <w:pPr>
              <w:rPr>
                <w:rFonts w:hint="default" w:ascii="Arial" w:hAnsi="Arial" w:eastAsia="宋体" w:cs="Arial"/>
                <w:color w:val="auto"/>
                <w:lang w:val="en-US" w:eastAsia="zh-CN"/>
              </w:rPr>
            </w:pPr>
            <w:r>
              <w:rPr>
                <w:rFonts w:hint="eastAsia" w:ascii="Arial" w:hAnsi="Arial" w:eastAsia="宋体" w:cs="Arial"/>
                <w:color w:val="auto"/>
                <w:lang w:val="en-US" w:eastAsia="zh-CN"/>
              </w:rPr>
              <w:t>能对微生物进行分类</w:t>
            </w:r>
          </w:p>
        </w:tc>
        <w:tc>
          <w:tcPr>
            <w:tcW w:w="1044" w:type="pct"/>
          </w:tcPr>
          <w:p w14:paraId="48D7093C">
            <w:pPr>
              <w:rPr>
                <w:rFonts w:hint="default" w:ascii="Arial" w:hAnsi="Arial" w:eastAsia="宋体" w:cs="Arial"/>
                <w:color w:val="auto"/>
                <w:lang w:val="en-US" w:eastAsia="zh-CN"/>
              </w:rPr>
            </w:pPr>
            <w:r>
              <w:rPr>
                <w:rFonts w:hint="eastAsia" w:ascii="Arial" w:hAnsi="Arial" w:eastAsia="宋体" w:cs="Arial"/>
                <w:color w:val="auto"/>
                <w:lang w:val="en-US" w:eastAsia="zh-CN"/>
              </w:rPr>
              <w:t>科学家爱国精神</w:t>
            </w:r>
          </w:p>
        </w:tc>
        <w:tc>
          <w:tcPr>
            <w:tcW w:w="597" w:type="pct"/>
          </w:tcPr>
          <w:p w14:paraId="074A2A8A">
            <w:pPr>
              <w:rPr>
                <w:rFonts w:hint="default" w:ascii="Arial" w:hAnsi="Arial" w:eastAsia="宋体" w:cs="Arial"/>
                <w:color w:val="auto"/>
                <w:lang w:val="en-US" w:eastAsia="zh-CN"/>
              </w:rPr>
            </w:pPr>
            <w:r>
              <w:rPr>
                <w:rFonts w:hint="eastAsia" w:ascii="Arial" w:hAnsi="Arial" w:eastAsia="宋体" w:cs="Arial"/>
                <w:color w:val="auto"/>
                <w:lang w:val="en-US" w:eastAsia="zh-CN"/>
              </w:rPr>
              <w:t>2</w:t>
            </w:r>
          </w:p>
        </w:tc>
      </w:tr>
      <w:tr w14:paraId="72CC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7401C303">
            <w:pPr>
              <w:rPr>
                <w:rFonts w:hint="default" w:ascii="Arial" w:hAnsi="Arial" w:eastAsia="宋体" w:cs="Arial"/>
                <w:color w:val="auto"/>
                <w:lang w:val="en-US" w:eastAsia="zh-CN"/>
              </w:rPr>
            </w:pPr>
            <w:r>
              <w:rPr>
                <w:rFonts w:hint="eastAsia" w:ascii="Arial" w:hAnsi="Arial" w:eastAsia="宋体" w:cs="Arial"/>
                <w:color w:val="auto"/>
                <w:lang w:val="en-US" w:eastAsia="zh-CN"/>
              </w:rPr>
              <w:t>项目一</w:t>
            </w:r>
          </w:p>
        </w:tc>
        <w:tc>
          <w:tcPr>
            <w:tcW w:w="1005" w:type="pct"/>
          </w:tcPr>
          <w:p w14:paraId="0CCAEF17">
            <w:pPr>
              <w:rPr>
                <w:rFonts w:hint="default" w:ascii="Arial" w:hAnsi="Arial" w:eastAsia="宋体" w:cs="Arial"/>
                <w:color w:val="auto"/>
                <w:lang w:val="en-US" w:eastAsia="zh-CN"/>
              </w:rPr>
            </w:pPr>
            <w:r>
              <w:rPr>
                <w:rFonts w:hint="eastAsia" w:ascii="Arial" w:hAnsi="Arial" w:eastAsia="宋体" w:cs="Arial"/>
                <w:color w:val="auto"/>
                <w:lang w:val="en-US" w:eastAsia="zh-CN"/>
              </w:rPr>
              <w:t>细菌病的实验室诊断</w:t>
            </w:r>
          </w:p>
        </w:tc>
        <w:tc>
          <w:tcPr>
            <w:tcW w:w="870" w:type="pct"/>
          </w:tcPr>
          <w:p w14:paraId="6EE4AB8E">
            <w:pPr>
              <w:rPr>
                <w:rFonts w:hint="default" w:ascii="Arial" w:hAnsi="Arial" w:eastAsia="宋体" w:cs="Arial"/>
                <w:color w:val="auto"/>
                <w:lang w:val="en-US" w:eastAsia="zh-CN"/>
              </w:rPr>
            </w:pPr>
            <w:r>
              <w:rPr>
                <w:rFonts w:hint="eastAsia" w:ascii="Arial" w:hAnsi="Arial" w:eastAsia="宋体" w:cs="Arial"/>
                <w:color w:val="auto"/>
                <w:lang w:val="en-US" w:eastAsia="zh-CN"/>
              </w:rPr>
              <w:t>细菌的形态、结构、生理、人工培养、致病性认知</w:t>
            </w:r>
          </w:p>
        </w:tc>
        <w:tc>
          <w:tcPr>
            <w:tcW w:w="820" w:type="pct"/>
          </w:tcPr>
          <w:p w14:paraId="177F3227">
            <w:pPr>
              <w:rPr>
                <w:rFonts w:hint="default" w:ascii="Arial" w:hAnsi="Arial" w:eastAsia="宋体" w:cs="Arial"/>
                <w:color w:val="auto"/>
                <w:lang w:val="en-US" w:eastAsia="zh-CN"/>
              </w:rPr>
            </w:pPr>
            <w:r>
              <w:rPr>
                <w:rFonts w:hint="eastAsia" w:ascii="Arial" w:hAnsi="Arial" w:eastAsia="宋体" w:cs="Arial"/>
                <w:color w:val="auto"/>
                <w:lang w:val="en-US" w:eastAsia="zh-CN"/>
              </w:rPr>
              <w:t>能使用常用仪器，进行标本片的观察，制备培养基并进行细菌的分离培养</w:t>
            </w:r>
          </w:p>
        </w:tc>
        <w:tc>
          <w:tcPr>
            <w:tcW w:w="1044" w:type="pct"/>
          </w:tcPr>
          <w:p w14:paraId="1831869B">
            <w:pPr>
              <w:rPr>
                <w:rFonts w:hint="default"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精益求精</w:t>
            </w:r>
            <w:r>
              <w:rPr>
                <w:rFonts w:hint="eastAsia" w:asciiTheme="minorEastAsia" w:hAnsiTheme="minorEastAsia" w:cstheme="minorEastAsia"/>
                <w:sz w:val="24"/>
                <w:szCs w:val="24"/>
                <w:lang w:val="en-US" w:eastAsia="zh-CN"/>
              </w:rPr>
              <w:t>的</w:t>
            </w:r>
            <w:r>
              <w:rPr>
                <w:rFonts w:hint="eastAsia" w:ascii="Arial" w:hAnsi="Arial" w:eastAsia="宋体" w:cs="Arial"/>
                <w:color w:val="auto"/>
                <w:lang w:val="en-US" w:eastAsia="zh-CN"/>
              </w:rPr>
              <w:t>工匠精神</w:t>
            </w:r>
          </w:p>
        </w:tc>
        <w:tc>
          <w:tcPr>
            <w:tcW w:w="597" w:type="pct"/>
          </w:tcPr>
          <w:p w14:paraId="46D41B69">
            <w:pPr>
              <w:rPr>
                <w:rFonts w:hint="default" w:ascii="Arial" w:hAnsi="Arial" w:eastAsia="宋体" w:cs="Arial"/>
                <w:color w:val="auto"/>
                <w:lang w:val="en-US" w:eastAsia="zh-CN"/>
              </w:rPr>
            </w:pPr>
            <w:r>
              <w:rPr>
                <w:rFonts w:hint="eastAsia" w:ascii="Arial" w:hAnsi="Arial" w:eastAsia="宋体" w:cs="Arial"/>
                <w:color w:val="auto"/>
                <w:lang w:val="en-US" w:eastAsia="zh-CN"/>
              </w:rPr>
              <w:t>12</w:t>
            </w:r>
          </w:p>
        </w:tc>
      </w:tr>
      <w:tr w14:paraId="0253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49CC1B3B">
            <w:pPr>
              <w:rPr>
                <w:rFonts w:hint="default" w:ascii="Arial" w:hAnsi="Arial" w:eastAsia="宋体" w:cs="Arial"/>
                <w:color w:val="auto"/>
                <w:lang w:val="en-US" w:eastAsia="zh-CN"/>
              </w:rPr>
            </w:pPr>
            <w:r>
              <w:rPr>
                <w:rFonts w:hint="eastAsia" w:ascii="Arial" w:hAnsi="Arial" w:eastAsia="宋体" w:cs="Arial"/>
                <w:color w:val="auto"/>
                <w:lang w:val="en-US" w:eastAsia="zh-CN"/>
              </w:rPr>
              <w:t>项目二</w:t>
            </w:r>
          </w:p>
        </w:tc>
        <w:tc>
          <w:tcPr>
            <w:tcW w:w="1005" w:type="pct"/>
          </w:tcPr>
          <w:p w14:paraId="76603608">
            <w:pPr>
              <w:rPr>
                <w:rFonts w:hint="default" w:ascii="Arial" w:hAnsi="Arial" w:eastAsia="宋体" w:cs="Arial"/>
                <w:color w:val="auto"/>
                <w:lang w:val="en-US" w:eastAsia="zh-CN"/>
              </w:rPr>
            </w:pPr>
            <w:r>
              <w:rPr>
                <w:rFonts w:hint="eastAsia" w:ascii="Arial" w:hAnsi="Arial" w:eastAsia="宋体" w:cs="Arial"/>
                <w:color w:val="auto"/>
                <w:lang w:val="en-US" w:eastAsia="zh-CN"/>
              </w:rPr>
              <w:t>病毒病的实验室诊断</w:t>
            </w:r>
          </w:p>
        </w:tc>
        <w:tc>
          <w:tcPr>
            <w:tcW w:w="870" w:type="pct"/>
          </w:tcPr>
          <w:p w14:paraId="3E6BF0A4">
            <w:pPr>
              <w:rPr>
                <w:rFonts w:hint="default" w:ascii="Arial" w:hAnsi="Arial" w:eastAsia="宋体" w:cs="Arial"/>
                <w:color w:val="auto"/>
                <w:lang w:val="en-US" w:eastAsia="zh-CN"/>
              </w:rPr>
            </w:pPr>
            <w:r>
              <w:rPr>
                <w:rFonts w:hint="eastAsia" w:ascii="Arial" w:hAnsi="Arial" w:eastAsia="宋体" w:cs="Arial"/>
                <w:color w:val="auto"/>
                <w:lang w:val="en-US" w:eastAsia="zh-CN"/>
              </w:rPr>
              <w:t>病毒的形态、结构、增殖与培养、特性及致病性学习</w:t>
            </w:r>
          </w:p>
        </w:tc>
        <w:tc>
          <w:tcPr>
            <w:tcW w:w="820" w:type="pct"/>
          </w:tcPr>
          <w:p w14:paraId="03DFF7A2">
            <w:pPr>
              <w:rPr>
                <w:rFonts w:hint="default" w:ascii="Arial" w:hAnsi="Arial" w:eastAsia="宋体" w:cs="Arial"/>
                <w:color w:val="auto"/>
                <w:lang w:val="en-US" w:eastAsia="zh-CN"/>
              </w:rPr>
            </w:pPr>
            <w:r>
              <w:rPr>
                <w:rFonts w:hint="eastAsia" w:ascii="Arial" w:hAnsi="Arial" w:eastAsia="宋体" w:cs="Arial"/>
                <w:color w:val="auto"/>
                <w:lang w:val="en-US" w:eastAsia="zh-CN"/>
              </w:rPr>
              <w:t>病毒鸡胚接种技术，病毒的血凝与血抑试验</w:t>
            </w:r>
          </w:p>
        </w:tc>
        <w:tc>
          <w:tcPr>
            <w:tcW w:w="1044" w:type="pct"/>
          </w:tcPr>
          <w:p w14:paraId="5611C705">
            <w:pP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精益求精</w:t>
            </w:r>
            <w:r>
              <w:rPr>
                <w:rFonts w:hint="eastAsia" w:asciiTheme="minorEastAsia" w:hAnsiTheme="minorEastAsia" w:cstheme="minorEastAsia"/>
                <w:sz w:val="24"/>
                <w:szCs w:val="24"/>
                <w:lang w:val="en-US" w:eastAsia="zh-CN"/>
              </w:rPr>
              <w:t>的</w:t>
            </w:r>
            <w:r>
              <w:rPr>
                <w:rFonts w:hint="eastAsia" w:ascii="Arial" w:hAnsi="Arial" w:eastAsia="宋体" w:cs="Arial"/>
                <w:color w:val="auto"/>
                <w:lang w:val="en-US" w:eastAsia="zh-CN"/>
              </w:rPr>
              <w:t>工匠精神</w:t>
            </w:r>
          </w:p>
        </w:tc>
        <w:tc>
          <w:tcPr>
            <w:tcW w:w="597" w:type="pct"/>
          </w:tcPr>
          <w:p w14:paraId="41C3EE07">
            <w:pP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r>
      <w:tr w14:paraId="30D2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654DD0F7">
            <w:pPr>
              <w:rPr>
                <w:rFonts w:hint="default" w:ascii="Arial" w:hAnsi="Arial" w:eastAsia="宋体" w:cs="Arial"/>
                <w:color w:val="auto"/>
                <w:lang w:val="en-US" w:eastAsia="zh-CN"/>
              </w:rPr>
            </w:pPr>
            <w:r>
              <w:rPr>
                <w:rFonts w:hint="eastAsia" w:ascii="Arial" w:hAnsi="Arial" w:eastAsia="宋体" w:cs="Arial"/>
                <w:color w:val="auto"/>
                <w:lang w:val="en-US" w:eastAsia="zh-CN"/>
              </w:rPr>
              <w:t>项目三</w:t>
            </w:r>
          </w:p>
        </w:tc>
        <w:tc>
          <w:tcPr>
            <w:tcW w:w="1005" w:type="pct"/>
          </w:tcPr>
          <w:p w14:paraId="792EEE4E">
            <w:pPr>
              <w:rPr>
                <w:rFonts w:hint="default" w:ascii="Arial" w:hAnsi="Arial" w:eastAsia="宋体" w:cs="Arial"/>
                <w:color w:val="auto"/>
                <w:lang w:val="en-US" w:eastAsia="zh-CN"/>
              </w:rPr>
            </w:pPr>
            <w:r>
              <w:rPr>
                <w:rFonts w:hint="eastAsia" w:ascii="Arial" w:hAnsi="Arial" w:eastAsia="宋体" w:cs="Arial"/>
                <w:color w:val="auto"/>
                <w:lang w:val="en-US" w:eastAsia="zh-CN"/>
              </w:rPr>
              <w:t>消毒与灭菌</w:t>
            </w:r>
          </w:p>
        </w:tc>
        <w:tc>
          <w:tcPr>
            <w:tcW w:w="870" w:type="pct"/>
          </w:tcPr>
          <w:p w14:paraId="3A52DFB3">
            <w:pPr>
              <w:rPr>
                <w:rFonts w:hint="default" w:ascii="Arial" w:hAnsi="Arial" w:eastAsia="宋体" w:cs="Arial"/>
                <w:color w:val="auto"/>
                <w:lang w:val="en-US" w:eastAsia="zh-CN"/>
              </w:rPr>
            </w:pPr>
            <w:r>
              <w:rPr>
                <w:rFonts w:hint="eastAsia" w:ascii="Arial" w:hAnsi="Arial" w:eastAsia="宋体" w:cs="Arial"/>
                <w:color w:val="auto"/>
                <w:lang w:val="en-US" w:eastAsia="zh-CN"/>
              </w:rPr>
              <w:t>微生物在自然界中的分布，外界环境对微生物的影响</w:t>
            </w:r>
          </w:p>
        </w:tc>
        <w:tc>
          <w:tcPr>
            <w:tcW w:w="820" w:type="pct"/>
          </w:tcPr>
          <w:p w14:paraId="7567DFA3">
            <w:pPr>
              <w:rPr>
                <w:rFonts w:hint="default" w:ascii="Arial" w:hAnsi="Arial" w:eastAsia="宋体" w:cs="Arial"/>
                <w:color w:val="auto"/>
                <w:lang w:val="en-US" w:eastAsia="zh-CN"/>
              </w:rPr>
            </w:pPr>
            <w:r>
              <w:rPr>
                <w:rFonts w:hint="eastAsia" w:ascii="Arial" w:hAnsi="Arial" w:eastAsia="宋体" w:cs="Arial"/>
                <w:color w:val="auto"/>
                <w:lang w:val="en-US" w:eastAsia="zh-CN"/>
              </w:rPr>
              <w:t>细菌敏感性试验，实验动物的接种与剖检</w:t>
            </w:r>
          </w:p>
        </w:tc>
        <w:tc>
          <w:tcPr>
            <w:tcW w:w="1044" w:type="pct"/>
          </w:tcPr>
          <w:p w14:paraId="45EE2574">
            <w:pP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求真务实、严谨细致、勇于探索的科学精神</w:t>
            </w:r>
          </w:p>
        </w:tc>
        <w:tc>
          <w:tcPr>
            <w:tcW w:w="597" w:type="pct"/>
          </w:tcPr>
          <w:p w14:paraId="1E178CED">
            <w:pPr>
              <w:rPr>
                <w:rFonts w:hint="default" w:ascii="Arial" w:hAnsi="Arial" w:eastAsia="宋体" w:cs="Arial"/>
                <w:color w:val="auto"/>
                <w:lang w:val="en-US" w:eastAsia="zh-CN"/>
              </w:rPr>
            </w:pPr>
            <w:r>
              <w:rPr>
                <w:rFonts w:hint="eastAsia" w:ascii="Arial" w:hAnsi="Arial" w:eastAsia="宋体" w:cs="Arial"/>
                <w:color w:val="auto"/>
                <w:lang w:val="en-US" w:eastAsia="zh-CN"/>
              </w:rPr>
              <w:t>8</w:t>
            </w:r>
          </w:p>
        </w:tc>
      </w:tr>
      <w:tr w14:paraId="23CA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7A3E701F">
            <w:pPr>
              <w:rPr>
                <w:rFonts w:hint="default" w:ascii="Arial" w:hAnsi="Arial" w:eastAsia="宋体" w:cs="Arial"/>
                <w:color w:val="auto"/>
                <w:lang w:val="en-US" w:eastAsia="zh-CN"/>
              </w:rPr>
            </w:pPr>
            <w:r>
              <w:rPr>
                <w:rFonts w:hint="eastAsia" w:ascii="Arial" w:hAnsi="Arial" w:eastAsia="宋体" w:cs="Arial"/>
                <w:color w:val="auto"/>
                <w:lang w:val="en-US" w:eastAsia="zh-CN"/>
              </w:rPr>
              <w:t>项目四</w:t>
            </w:r>
          </w:p>
        </w:tc>
        <w:tc>
          <w:tcPr>
            <w:tcW w:w="1005" w:type="pct"/>
          </w:tcPr>
          <w:p w14:paraId="35958B69">
            <w:pPr>
              <w:rPr>
                <w:rFonts w:hint="default" w:ascii="Arial" w:hAnsi="Arial" w:eastAsia="宋体" w:cs="Arial"/>
                <w:color w:val="auto"/>
                <w:lang w:val="en-US" w:eastAsia="zh-CN"/>
              </w:rPr>
            </w:pPr>
            <w:r>
              <w:rPr>
                <w:rFonts w:hint="eastAsia" w:ascii="Arial" w:hAnsi="Arial" w:eastAsia="宋体" w:cs="Arial"/>
                <w:color w:val="auto"/>
                <w:lang w:val="en-US" w:eastAsia="zh-CN"/>
              </w:rPr>
              <w:t>免疫防治理论</w:t>
            </w:r>
          </w:p>
        </w:tc>
        <w:tc>
          <w:tcPr>
            <w:tcW w:w="870" w:type="pct"/>
          </w:tcPr>
          <w:p w14:paraId="32C5DD8A">
            <w:pPr>
              <w:rPr>
                <w:rFonts w:hint="default" w:ascii="Arial" w:hAnsi="Arial" w:eastAsia="宋体" w:cs="Arial"/>
                <w:color w:val="auto"/>
                <w:lang w:val="en-US" w:eastAsia="zh-CN"/>
              </w:rPr>
            </w:pPr>
            <w:r>
              <w:rPr>
                <w:rFonts w:hint="eastAsia" w:ascii="Arial" w:hAnsi="Arial" w:eastAsia="宋体" w:cs="Arial"/>
                <w:color w:val="auto"/>
                <w:lang w:val="en-US" w:eastAsia="zh-CN"/>
              </w:rPr>
              <w:t>免疫系统的构成，抗原、抗体的学习，免疫应答的过程，体液免疫、细胞免疫的认知</w:t>
            </w:r>
          </w:p>
        </w:tc>
        <w:tc>
          <w:tcPr>
            <w:tcW w:w="820" w:type="pct"/>
          </w:tcPr>
          <w:p w14:paraId="267A9A8B">
            <w:pPr>
              <w:rPr>
                <w:rFonts w:hint="default" w:ascii="Arial" w:hAnsi="Arial" w:eastAsia="宋体" w:cs="Arial"/>
                <w:color w:val="auto"/>
                <w:lang w:val="en-US" w:eastAsia="zh-CN"/>
              </w:rPr>
            </w:pPr>
            <w:r>
              <w:rPr>
                <w:rFonts w:hint="eastAsia" w:ascii="Arial" w:hAnsi="Arial" w:eastAsia="宋体" w:cs="Arial"/>
                <w:color w:val="auto"/>
                <w:lang w:val="en-US" w:eastAsia="zh-CN"/>
              </w:rPr>
              <w:t>区分先天性免疫与特异性免疫的原理，学习体液免疫与细胞免疫的主体</w:t>
            </w:r>
          </w:p>
        </w:tc>
        <w:tc>
          <w:tcPr>
            <w:tcW w:w="1044" w:type="pct"/>
          </w:tcPr>
          <w:p w14:paraId="04D7B9E9">
            <w:pP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tc>
        <w:tc>
          <w:tcPr>
            <w:tcW w:w="597" w:type="pct"/>
          </w:tcPr>
          <w:p w14:paraId="5F37BA07">
            <w:pP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r>
      <w:tr w14:paraId="230A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790562AB">
            <w:pPr>
              <w:rPr>
                <w:rFonts w:hint="default" w:ascii="Arial" w:hAnsi="Arial" w:eastAsia="宋体" w:cs="Arial"/>
                <w:color w:val="auto"/>
                <w:lang w:val="en-US" w:eastAsia="zh-CN"/>
              </w:rPr>
            </w:pPr>
            <w:r>
              <w:rPr>
                <w:rFonts w:hint="eastAsia" w:ascii="Arial" w:hAnsi="Arial" w:eastAsia="宋体" w:cs="Arial"/>
                <w:color w:val="auto"/>
                <w:lang w:val="en-US" w:eastAsia="zh-CN"/>
              </w:rPr>
              <w:t>项目五</w:t>
            </w:r>
          </w:p>
        </w:tc>
        <w:tc>
          <w:tcPr>
            <w:tcW w:w="1005" w:type="pct"/>
          </w:tcPr>
          <w:p w14:paraId="77E0C90C">
            <w:pPr>
              <w:rPr>
                <w:rFonts w:hint="default" w:ascii="Arial" w:hAnsi="Arial" w:eastAsia="宋体" w:cs="Arial"/>
                <w:color w:val="auto"/>
                <w:lang w:val="en-US" w:eastAsia="zh-CN"/>
              </w:rPr>
            </w:pPr>
            <w:r>
              <w:rPr>
                <w:rFonts w:hint="eastAsia" w:ascii="Arial" w:hAnsi="Arial" w:eastAsia="宋体" w:cs="Arial"/>
                <w:color w:val="auto"/>
                <w:lang w:val="en-US" w:eastAsia="zh-CN"/>
              </w:rPr>
              <w:t>免疫诊断</w:t>
            </w:r>
          </w:p>
        </w:tc>
        <w:tc>
          <w:tcPr>
            <w:tcW w:w="870" w:type="pct"/>
          </w:tcPr>
          <w:p w14:paraId="6F334A53">
            <w:pPr>
              <w:rPr>
                <w:rFonts w:hint="default" w:ascii="Arial" w:hAnsi="Arial" w:eastAsia="宋体" w:cs="Arial"/>
                <w:color w:val="auto"/>
                <w:lang w:val="en-US" w:eastAsia="zh-CN"/>
              </w:rPr>
            </w:pPr>
            <w:r>
              <w:rPr>
                <w:rFonts w:hint="eastAsia" w:ascii="Arial" w:hAnsi="Arial" w:eastAsia="宋体" w:cs="Arial"/>
                <w:color w:val="auto"/>
                <w:lang w:val="en-US" w:eastAsia="zh-CN"/>
              </w:rPr>
              <w:t>血清学试验，变态反应诊断</w:t>
            </w:r>
          </w:p>
        </w:tc>
        <w:tc>
          <w:tcPr>
            <w:tcW w:w="820" w:type="pct"/>
          </w:tcPr>
          <w:p w14:paraId="4C7CB229">
            <w:pPr>
              <w:rPr>
                <w:rFonts w:hint="default" w:ascii="Arial" w:hAnsi="Arial" w:eastAsia="宋体" w:cs="Arial"/>
                <w:color w:val="auto"/>
                <w:lang w:val="en-US" w:eastAsia="zh-CN"/>
              </w:rPr>
            </w:pPr>
            <w:r>
              <w:rPr>
                <w:rFonts w:hint="eastAsia" w:ascii="Arial" w:hAnsi="Arial" w:eastAsia="宋体" w:cs="Arial"/>
                <w:color w:val="auto"/>
                <w:lang w:val="en-US" w:eastAsia="zh-CN"/>
              </w:rPr>
              <w:t>凝集试验、沉淀试验、ELLISA、间接血凝试验、免疫荧光技术</w:t>
            </w:r>
          </w:p>
        </w:tc>
        <w:tc>
          <w:tcPr>
            <w:tcW w:w="1044" w:type="pct"/>
          </w:tcPr>
          <w:p w14:paraId="2D63DB54">
            <w:pP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增强学生的民族自豪感和“学农报国”的使命感</w:t>
            </w:r>
          </w:p>
        </w:tc>
        <w:tc>
          <w:tcPr>
            <w:tcW w:w="597" w:type="pct"/>
          </w:tcPr>
          <w:p w14:paraId="61A1BA59">
            <w:pPr>
              <w:rPr>
                <w:rFonts w:hint="default" w:ascii="Arial" w:hAnsi="Arial" w:eastAsia="宋体" w:cs="Arial"/>
                <w:color w:val="auto"/>
                <w:lang w:val="en-US" w:eastAsia="zh-CN"/>
              </w:rPr>
            </w:pPr>
            <w:r>
              <w:rPr>
                <w:rFonts w:hint="eastAsia" w:ascii="Arial" w:hAnsi="Arial" w:eastAsia="宋体" w:cs="Arial"/>
                <w:color w:val="auto"/>
                <w:lang w:val="en-US" w:eastAsia="zh-CN"/>
              </w:rPr>
              <w:t>4</w:t>
            </w:r>
          </w:p>
        </w:tc>
      </w:tr>
      <w:tr w14:paraId="2013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tcPr>
          <w:p w14:paraId="73A73CC3">
            <w:pPr>
              <w:rPr>
                <w:rFonts w:hint="default" w:ascii="Arial" w:hAnsi="Arial" w:eastAsia="宋体" w:cs="Arial"/>
                <w:color w:val="auto"/>
                <w:lang w:val="en-US" w:eastAsia="zh-CN"/>
              </w:rPr>
            </w:pPr>
            <w:r>
              <w:rPr>
                <w:rFonts w:hint="eastAsia" w:ascii="Arial" w:hAnsi="Arial" w:eastAsia="宋体" w:cs="Arial"/>
                <w:color w:val="auto"/>
                <w:lang w:val="en-US" w:eastAsia="zh-CN"/>
              </w:rPr>
              <w:t>项目六</w:t>
            </w:r>
          </w:p>
        </w:tc>
        <w:tc>
          <w:tcPr>
            <w:tcW w:w="1005" w:type="pct"/>
          </w:tcPr>
          <w:p w14:paraId="75D450A4">
            <w:pPr>
              <w:rPr>
                <w:rFonts w:hint="default" w:ascii="Arial" w:hAnsi="Arial" w:eastAsia="宋体" w:cs="Arial"/>
                <w:color w:val="auto"/>
                <w:lang w:val="en-US" w:eastAsia="zh-CN"/>
              </w:rPr>
            </w:pPr>
            <w:r>
              <w:rPr>
                <w:rFonts w:hint="eastAsia" w:ascii="Arial" w:hAnsi="Arial" w:eastAsia="宋体" w:cs="Arial"/>
                <w:color w:val="auto"/>
                <w:lang w:val="en-US" w:eastAsia="zh-CN"/>
              </w:rPr>
              <w:t>生物制品及其应用</w:t>
            </w:r>
          </w:p>
        </w:tc>
        <w:tc>
          <w:tcPr>
            <w:tcW w:w="870" w:type="pct"/>
          </w:tcPr>
          <w:p w14:paraId="41E78D79">
            <w:pPr>
              <w:rPr>
                <w:rFonts w:hint="default" w:ascii="Arial" w:hAnsi="Arial" w:eastAsia="宋体" w:cs="Arial"/>
                <w:color w:val="auto"/>
                <w:lang w:val="en-US" w:eastAsia="zh-CN"/>
              </w:rPr>
            </w:pPr>
            <w:r>
              <w:rPr>
                <w:rFonts w:hint="eastAsia" w:ascii="Arial" w:hAnsi="Arial" w:eastAsia="宋体" w:cs="Arial"/>
                <w:color w:val="auto"/>
                <w:lang w:val="en-US" w:eastAsia="zh-CN"/>
              </w:rPr>
              <w:t>生物制品的认知和应用</w:t>
            </w:r>
          </w:p>
        </w:tc>
        <w:tc>
          <w:tcPr>
            <w:tcW w:w="820" w:type="pct"/>
          </w:tcPr>
          <w:p w14:paraId="174886FE">
            <w:pPr>
              <w:rPr>
                <w:rFonts w:hint="default" w:ascii="Arial" w:hAnsi="Arial" w:eastAsia="宋体" w:cs="Arial"/>
                <w:color w:val="auto"/>
                <w:lang w:val="en-US" w:eastAsia="zh-CN"/>
              </w:rPr>
            </w:pPr>
            <w:r>
              <w:rPr>
                <w:rFonts w:hint="eastAsia" w:ascii="Arial" w:hAnsi="Arial" w:eastAsia="宋体" w:cs="Arial"/>
                <w:color w:val="auto"/>
                <w:lang w:val="en-US" w:eastAsia="zh-CN"/>
              </w:rPr>
              <w:t>正确使用疫苗、血清及诊断液</w:t>
            </w:r>
          </w:p>
        </w:tc>
        <w:tc>
          <w:tcPr>
            <w:tcW w:w="1044" w:type="pct"/>
          </w:tcPr>
          <w:p w14:paraId="618C9967">
            <w:pP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tc>
        <w:tc>
          <w:tcPr>
            <w:tcW w:w="597" w:type="pct"/>
          </w:tcPr>
          <w:p w14:paraId="24AE9B39">
            <w:pPr>
              <w:rPr>
                <w:rFonts w:hint="default" w:ascii="Arial" w:hAnsi="Arial" w:eastAsia="宋体" w:cs="Arial"/>
                <w:color w:val="auto"/>
                <w:lang w:val="en-US" w:eastAsia="zh-CN"/>
              </w:rPr>
            </w:pPr>
            <w:r>
              <w:rPr>
                <w:rFonts w:hint="eastAsia" w:ascii="Arial" w:hAnsi="Arial" w:eastAsia="宋体" w:cs="Arial"/>
                <w:color w:val="auto"/>
                <w:lang w:val="en-US" w:eastAsia="zh-CN"/>
              </w:rPr>
              <w:t>2</w:t>
            </w:r>
          </w:p>
        </w:tc>
      </w:tr>
    </w:tbl>
    <w:p w14:paraId="56D1690C">
      <w:pPr>
        <w:numPr>
          <w:ilvl w:val="0"/>
          <w:numId w:val="2"/>
        </w:numPr>
        <w:bidi w:val="0"/>
        <w:ind w:left="420" w:leftChars="0" w:firstLineChars="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课程考核与评价</w:t>
      </w:r>
    </w:p>
    <w:p w14:paraId="6ED3C5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40"/>
        <w:gridCol w:w="2165"/>
        <w:gridCol w:w="1347"/>
        <w:gridCol w:w="3637"/>
      </w:tblGrid>
      <w:tr w14:paraId="684D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74B1E9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AE333B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1439DA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F43D2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1BB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FAE52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BE264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5FCAD0A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6A207864">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450FEA08">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6626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98B8D6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F2875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5688246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437F03B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4B8BAFAC">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FD2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FF6F4A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FBDBE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E34CD9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26141B8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2CD2A5B">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0119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D9E83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8AF333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6452674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6689519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5D7E1BC9">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311639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67174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如模拟兽医诊断）、虚拟仿真实训等形式，提高学生学习主动性和实践能力。</w:t>
      </w:r>
    </w:p>
    <w:p w14:paraId="7D53D70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E838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试验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6FFB54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CF890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EDF85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微生物相关教学经验与实践经历。鼓励聘请行业企业资深兽医、技术专家担任兼职教师，承担部分实践教学或讲座。团队结构（职称、年龄、专兼职）合理。</w:t>
      </w:r>
    </w:p>
    <w:p w14:paraId="757CE4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D667F6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613EB38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022C940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动物微生物实验室：操作台、细菌培养器材。符合生物安全与废弃物处理要求。</w:t>
      </w:r>
    </w:p>
    <w:p w14:paraId="0D464B0B">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显微互动实验室：配备显微镜、显微成像系统、细菌标本片等。</w:t>
      </w:r>
    </w:p>
    <w:p w14:paraId="29C12C99">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虚拟仿真实训室：安装传染病病原虚拟仿真软件。</w:t>
      </w:r>
    </w:p>
    <w:p w14:paraId="77DF9823">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308CA7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049BA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4CC0014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（2）数字教学资源：建设或选用精品在线开放课程资源库；开发或收集高质量微课视频、三维动画、虚拟仿真实验项目；建立标本、切片数字图像库；利用专业数据库、学术网站链接拓展学习资源。</w:t>
      </w:r>
    </w:p>
    <w:p w14:paraId="243E67C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FBF2F4E">
      <w:pPr>
        <w:pStyle w:val="2"/>
        <w:bidi w:val="0"/>
        <w:jc w:val="center"/>
        <w:rPr>
          <w:rFonts w:hint="eastAsia"/>
          <w:lang w:val="en-US" w:eastAsia="zh-CN"/>
        </w:rPr>
      </w:pPr>
      <w:bookmarkStart w:id="18" w:name="_Toc13860"/>
      <w:bookmarkStart w:id="19" w:name="_Toc2494"/>
      <w:r>
        <w:rPr>
          <w:rFonts w:hint="eastAsia"/>
          <w:lang w:val="en-US" w:eastAsia="zh-CN"/>
        </w:rPr>
        <w:t>《动物营养与饲料》课程标准</w:t>
      </w:r>
      <w:bookmarkEnd w:id="18"/>
      <w:bookmarkEnd w:id="19"/>
    </w:p>
    <w:p w14:paraId="3B6BF25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00"/>
        <w:gridCol w:w="1639"/>
        <w:gridCol w:w="942"/>
        <w:gridCol w:w="1000"/>
        <w:gridCol w:w="3138"/>
      </w:tblGrid>
      <w:tr w14:paraId="4AEF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1E1C0C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50704D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动物营养与饲料</w:t>
            </w:r>
          </w:p>
        </w:tc>
        <w:tc>
          <w:tcPr>
            <w:tcW w:w="534" w:type="pct"/>
            <w:tcBorders>
              <w:top w:val="single" w:color="auto" w:sz="4" w:space="0"/>
              <w:left w:val="single" w:color="auto" w:sz="4" w:space="0"/>
              <w:bottom w:val="single" w:color="auto" w:sz="4" w:space="0"/>
              <w:right w:val="single" w:color="auto" w:sz="4" w:space="0"/>
            </w:tcBorders>
            <w:vAlign w:val="center"/>
          </w:tcPr>
          <w:p w14:paraId="6AF82AE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670C81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xcxm24003</w:t>
            </w:r>
          </w:p>
        </w:tc>
      </w:tr>
      <w:tr w14:paraId="1113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513956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8F86A69">
            <w:pPr>
              <w:jc w:val="center"/>
              <w:rPr>
                <w:rFonts w:hint="default" w:eastAsiaTheme="minorEastAsia"/>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2465889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6B07A6AC">
            <w:pPr>
              <w:jc w:val="center"/>
              <w:rPr>
                <w:rFonts w:hint="eastAsia"/>
                <w:lang w:val="en-US" w:eastAsia="zh-CN"/>
              </w:rPr>
            </w:pPr>
            <w:r>
              <w:rPr>
                <w:rFonts w:hint="eastAsia"/>
                <w:lang w:val="en-US" w:eastAsia="zh-CN"/>
              </w:rPr>
              <w:t>24学时</w:t>
            </w:r>
          </w:p>
        </w:tc>
        <w:tc>
          <w:tcPr>
            <w:tcW w:w="534" w:type="pct"/>
            <w:tcBorders>
              <w:top w:val="single" w:color="auto" w:sz="4" w:space="0"/>
              <w:left w:val="single" w:color="auto" w:sz="4" w:space="0"/>
              <w:bottom w:val="single" w:color="auto" w:sz="4" w:space="0"/>
              <w:right w:val="single" w:color="auto" w:sz="4" w:space="0"/>
            </w:tcBorders>
            <w:vAlign w:val="center"/>
          </w:tcPr>
          <w:p w14:paraId="72F6841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674351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647F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25F83F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03DD81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5C80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853D8C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F55DD7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EA6A8B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C957F5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F5EA5F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DDF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483E7C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016A07CC">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w:t>
            </w:r>
          </w:p>
        </w:tc>
      </w:tr>
      <w:tr w14:paraId="7F57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8CD7D8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5F4977D">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《牛羊生产》、《养禽与禽病防治》、《养猪与猪病防治》</w:t>
            </w:r>
          </w:p>
        </w:tc>
      </w:tr>
      <w:tr w14:paraId="0910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084B08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15C3550B">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动物营养与饲料</w:t>
            </w:r>
            <w:r>
              <w:rPr>
                <w:rFonts w:ascii="Arial" w:hAnsi="Arial" w:eastAsia="宋体" w:cs="Arial"/>
              </w:rPr>
              <w:t>》（</w:t>
            </w:r>
            <w:r>
              <w:rPr>
                <w:rFonts w:hint="eastAsia" w:ascii="Arial" w:hAnsi="Arial" w:eastAsia="宋体" w:cs="Arial"/>
                <w:lang w:val="en-US" w:eastAsia="zh-CN"/>
              </w:rPr>
              <w:t>陈明</w:t>
            </w:r>
            <w:r>
              <w:rPr>
                <w:rFonts w:hint="eastAsia" w:ascii="Arial" w:hAnsi="Arial" w:eastAsia="宋体" w:cs="Arial"/>
              </w:rPr>
              <w:t>，</w:t>
            </w:r>
            <w:r>
              <w:rPr>
                <w:rFonts w:hint="eastAsia" w:ascii="Arial" w:hAnsi="Arial" w:eastAsia="宋体" w:cs="Arial"/>
                <w:lang w:val="en-US" w:eastAsia="zh-CN"/>
              </w:rPr>
              <w:t>中国农业出版社，2019年，ISBN978-7-109-25682-8</w:t>
            </w:r>
            <w:r>
              <w:rPr>
                <w:rFonts w:ascii="Arial" w:hAnsi="Arial" w:eastAsia="宋体" w:cs="Arial"/>
              </w:rPr>
              <w:t>)</w:t>
            </w:r>
          </w:p>
        </w:tc>
      </w:tr>
      <w:tr w14:paraId="5C1B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9F29C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AFF2D06">
            <w:pPr>
              <w:widowControl/>
              <w:jc w:val="left"/>
              <w:rPr>
                <w:rFonts w:hint="eastAsia" w:eastAsiaTheme="minorEastAsia"/>
                <w:lang w:val="en-US" w:eastAsia="zh-CN"/>
              </w:rPr>
            </w:pPr>
            <w:r>
              <w:rPr>
                <w:rFonts w:hint="eastAsia"/>
                <w:lang w:val="en-US" w:eastAsia="zh-CN"/>
              </w:rPr>
              <w:t>杨侃侃</w:t>
            </w:r>
          </w:p>
        </w:tc>
        <w:tc>
          <w:tcPr>
            <w:tcW w:w="534" w:type="pct"/>
            <w:tcBorders>
              <w:top w:val="single" w:color="auto" w:sz="4" w:space="0"/>
              <w:left w:val="single" w:color="auto" w:sz="4" w:space="0"/>
              <w:bottom w:val="single" w:color="auto" w:sz="4" w:space="0"/>
              <w:right w:val="single" w:color="auto" w:sz="4" w:space="0"/>
            </w:tcBorders>
            <w:vAlign w:val="center"/>
          </w:tcPr>
          <w:p w14:paraId="49AF98D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71966B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52E8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B9CC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4A4FF57">
            <w:pPr>
              <w:widowControl/>
              <w:jc w:val="left"/>
              <w:rPr>
                <w:rFonts w:hint="eastAsia"/>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12830CC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0EADE1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3307D36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840767C">
      <w:pPr>
        <w:pStyle w:val="3"/>
        <w:bidi w:val="0"/>
        <w:rPr>
          <w:rFonts w:hint="eastAsia"/>
          <w:lang w:val="en-US" w:eastAsia="zh-CN"/>
        </w:rPr>
      </w:pPr>
      <w:r>
        <w:rPr>
          <w:rFonts w:hint="eastAsia"/>
          <w:lang w:val="en-US" w:eastAsia="zh-CN"/>
        </w:rPr>
        <w:t>二、课程定位</w:t>
      </w:r>
    </w:p>
    <w:p w14:paraId="082B4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《动物解剖生理》课程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饲料加工配制、饲料研发设计、饲料生产质量管控、饲料销售等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质量意识、安全意识、绿色环保意识、 爱岗敬业的</w:t>
      </w:r>
      <w:r>
        <w:rPr>
          <w:rFonts w:hint="eastAsia" w:asciiTheme="minorEastAsia" w:hAnsiTheme="minorEastAsia" w:eastAsiaTheme="minorEastAsia" w:cstheme="minorEastAsia"/>
          <w:sz w:val="24"/>
          <w:szCs w:val="24"/>
          <w:lang w:val="en-US" w:eastAsia="zh-CN"/>
        </w:rPr>
        <w:t>职业素质，具备</w:t>
      </w:r>
      <w:r>
        <w:rPr>
          <w:rFonts w:hint="eastAsia" w:ascii="宋体" w:hAnsi="宋体" w:eastAsia="宋体" w:cs="宋体"/>
          <w:sz w:val="24"/>
          <w:szCs w:val="24"/>
        </w:rPr>
        <w:t>饲料成分分析与营养价值评估能力</w:t>
      </w:r>
      <w:r>
        <w:rPr>
          <w:rFonts w:hint="eastAsia" w:ascii="宋体" w:hAnsi="宋体" w:eastAsia="宋体" w:cs="宋体"/>
          <w:sz w:val="24"/>
          <w:szCs w:val="24"/>
          <w:lang w:eastAsia="zh-CN"/>
        </w:rPr>
        <w:t>、</w:t>
      </w:r>
      <w:r>
        <w:rPr>
          <w:rFonts w:hint="eastAsia" w:ascii="宋体" w:hAnsi="宋体" w:eastAsia="宋体" w:cs="宋体"/>
          <w:sz w:val="24"/>
          <w:szCs w:val="24"/>
        </w:rPr>
        <w:t>配方设计与成本控制能力</w:t>
      </w:r>
      <w:r>
        <w:rPr>
          <w:rFonts w:hint="eastAsia" w:ascii="宋体" w:hAnsi="宋体" w:eastAsia="宋体" w:cs="宋体"/>
          <w:sz w:val="24"/>
          <w:szCs w:val="24"/>
          <w:lang w:eastAsia="zh-CN"/>
        </w:rPr>
        <w:t>、</w:t>
      </w:r>
      <w:r>
        <w:rPr>
          <w:rFonts w:hint="eastAsia" w:ascii="宋体" w:hAnsi="宋体" w:eastAsia="宋体" w:cs="宋体"/>
          <w:sz w:val="24"/>
          <w:szCs w:val="24"/>
        </w:rPr>
        <w:t>饲料安全与质量控制能力</w:t>
      </w:r>
      <w:r>
        <w:rPr>
          <w:rFonts w:hint="eastAsia" w:ascii="宋体" w:hAnsi="宋体" w:eastAsia="宋体" w:cs="宋体"/>
          <w:sz w:val="24"/>
          <w:szCs w:val="24"/>
          <w:lang w:eastAsia="zh-CN"/>
        </w:rPr>
        <w:t>、</w:t>
      </w:r>
      <w:r>
        <w:rPr>
          <w:rFonts w:hint="eastAsia" w:ascii="宋体" w:hAnsi="宋体" w:eastAsia="宋体" w:cs="宋体"/>
          <w:sz w:val="24"/>
          <w:szCs w:val="24"/>
        </w:rPr>
        <w:t>不同生长阶段营养需求匹配</w:t>
      </w:r>
      <w:r>
        <w:rPr>
          <w:rFonts w:hint="eastAsia" w:asciiTheme="minorEastAsia" w:hAnsiTheme="minorEastAsia" w:eastAsiaTheme="minorEastAsia" w:cstheme="minorEastAsia"/>
          <w:sz w:val="24"/>
          <w:szCs w:val="24"/>
          <w:lang w:val="en-US" w:eastAsia="zh-CN"/>
        </w:rPr>
        <w:t>能力，为后续</w:t>
      </w:r>
      <w:r>
        <w:rPr>
          <w:rFonts w:hint="eastAsia" w:ascii="Arial" w:hAnsi="Arial" w:eastAsia="宋体" w:cs="Arial"/>
          <w:color w:val="auto"/>
          <w:lang w:val="en-US" w:eastAsia="zh-CN"/>
        </w:rPr>
        <w:t>《</w:t>
      </w:r>
      <w:r>
        <w:rPr>
          <w:rFonts w:hint="eastAsia" w:ascii="Arial" w:hAnsi="Arial" w:eastAsia="宋体" w:cs="Arial"/>
          <w:color w:val="auto"/>
          <w:sz w:val="24"/>
          <w:szCs w:val="24"/>
          <w:lang w:val="en-US" w:eastAsia="zh-CN"/>
        </w:rPr>
        <w:t>牛羊生产》、《养禽与禽病防治》、《养猪与猪病防治》等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0FE9CBC">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领域及相关教材确定教学内容,从技术和产品出发，了解</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饲料研发</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加工设备</w:t>
      </w:r>
      <w:r>
        <w:rPr>
          <w:rFonts w:hint="eastAsia" w:asciiTheme="minorEastAsia" w:hAnsiTheme="minorEastAsia" w:eastAsiaTheme="minorEastAsia" w:cstheme="minorEastAsia"/>
          <w:sz w:val="24"/>
          <w:szCs w:val="24"/>
          <w:lang w:val="en-US" w:eastAsia="zh-CN"/>
        </w:rPr>
        <w:t>进行智能</w:t>
      </w:r>
      <w:r>
        <w:rPr>
          <w:rFonts w:hint="eastAsia" w:asciiTheme="minorEastAsia" w:hAnsiTheme="minorEastAsia" w:cstheme="minorEastAsia"/>
          <w:sz w:val="24"/>
          <w:szCs w:val="24"/>
          <w:lang w:val="en-US" w:eastAsia="zh-CN"/>
        </w:rPr>
        <w:t>整合</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12B3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绿色生产</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质量安全</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w:t>
      </w:r>
      <w:r>
        <w:rPr>
          <w:rFonts w:hint="eastAsia" w:asciiTheme="minorEastAsia" w:hAnsiTheme="minorEastAsia" w:cstheme="minorEastAsia"/>
          <w:sz w:val="24"/>
          <w:szCs w:val="24"/>
          <w:lang w:val="en-US" w:eastAsia="zh-CN"/>
        </w:rPr>
        <w:t>畜牧</w:t>
      </w:r>
      <w:r>
        <w:rPr>
          <w:rFonts w:hint="eastAsia" w:asciiTheme="minorEastAsia" w:hAnsiTheme="minorEastAsia" w:eastAsiaTheme="minorEastAsia" w:cstheme="minorEastAsia"/>
          <w:sz w:val="24"/>
          <w:szCs w:val="24"/>
          <w:lang w:val="en-US" w:eastAsia="zh-CN"/>
        </w:rPr>
        <w:t>师的经历，将创新精神和</w:t>
      </w:r>
      <w:r>
        <w:rPr>
          <w:rFonts w:hint="eastAsia" w:asciiTheme="minorEastAsia" w:hAnsiTheme="minorEastAsia" w:cstheme="minorEastAsia"/>
          <w:sz w:val="24"/>
          <w:szCs w:val="24"/>
          <w:lang w:val="en-US" w:eastAsia="zh-CN"/>
        </w:rPr>
        <w:t>劳动</w:t>
      </w:r>
      <w:r>
        <w:rPr>
          <w:rFonts w:hint="eastAsia" w:asciiTheme="minorEastAsia" w:hAnsiTheme="minorEastAsia" w:eastAsiaTheme="minorEastAsia" w:cstheme="minorEastAsia"/>
          <w:sz w:val="24"/>
          <w:szCs w:val="24"/>
          <w:lang w:val="en-US" w:eastAsia="zh-CN"/>
        </w:rPr>
        <w:t>精神传递给学生，促使专业知识与思政教育水乳交融。</w:t>
      </w:r>
    </w:p>
    <w:p w14:paraId="776B02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w:t>
      </w:r>
      <w:r>
        <w:rPr>
          <w:rFonts w:hint="eastAsia" w:asciiTheme="minorEastAsia" w:hAnsiTheme="minorEastAsia" w:eastAsiaTheme="minorEastAsia" w:cstheme="minorEastAsia"/>
          <w:sz w:val="24"/>
          <w:szCs w:val="24"/>
          <w:u w:val="none"/>
          <w:lang w:val="en-US" w:eastAsia="zh-CN"/>
        </w:rPr>
        <w:t>为适应新一轮</w:t>
      </w:r>
      <w:r>
        <w:rPr>
          <w:rFonts w:hint="eastAsia" w:asciiTheme="minorEastAsia" w:hAnsiTheme="minorEastAsia" w:cstheme="minorEastAsia"/>
          <w:sz w:val="24"/>
          <w:szCs w:val="24"/>
          <w:u w:val="none"/>
          <w:lang w:val="en-US" w:eastAsia="zh-CN"/>
        </w:rPr>
        <w:t>饲料行业</w:t>
      </w:r>
      <w:r>
        <w:rPr>
          <w:rFonts w:hint="eastAsia" w:asciiTheme="minorEastAsia" w:hAnsiTheme="minorEastAsia" w:eastAsiaTheme="minorEastAsia" w:cstheme="minorEastAsia"/>
          <w:sz w:val="24"/>
          <w:szCs w:val="24"/>
          <w:u w:val="none"/>
          <w:lang w:val="en-US" w:eastAsia="zh-CN"/>
        </w:rPr>
        <w:t>变革趋势，紧紧围绕国家</w:t>
      </w:r>
      <w:r>
        <w:rPr>
          <w:rFonts w:hint="eastAsia" w:asciiTheme="minorEastAsia" w:hAnsiTheme="minorEastAsia" w:cstheme="minorEastAsia"/>
          <w:sz w:val="24"/>
          <w:szCs w:val="24"/>
          <w:u w:val="none"/>
          <w:lang w:val="en-US" w:eastAsia="zh-CN"/>
        </w:rPr>
        <w:t>畜牧业</w:t>
      </w:r>
      <w:r>
        <w:rPr>
          <w:rFonts w:hint="eastAsia" w:asciiTheme="minorEastAsia" w:hAnsiTheme="minorEastAsia" w:eastAsiaTheme="minorEastAsia" w:cstheme="minorEastAsia"/>
          <w:sz w:val="24"/>
          <w:szCs w:val="24"/>
          <w:u w:val="none"/>
          <w:lang w:val="en-US" w:eastAsia="zh-CN"/>
        </w:rPr>
        <w:t>发展需要，</w:t>
      </w:r>
      <w:r>
        <w:rPr>
          <w:rFonts w:hint="eastAsia" w:asciiTheme="minorEastAsia" w:hAnsiTheme="minorEastAsia" w:eastAsiaTheme="minorEastAsia" w:cstheme="minorEastAsia"/>
          <w:sz w:val="24"/>
          <w:szCs w:val="24"/>
          <w:lang w:val="en-US" w:eastAsia="zh-CN"/>
        </w:rPr>
        <w:t>精准对接产业岗位新需求，融入</w:t>
      </w:r>
      <w:r>
        <w:rPr>
          <w:rFonts w:hint="eastAsia" w:asciiTheme="minorEastAsia" w:hAnsiTheme="minorEastAsia" w:cstheme="minorEastAsia"/>
          <w:sz w:val="24"/>
          <w:szCs w:val="24"/>
          <w:lang w:val="en-US" w:eastAsia="zh-CN"/>
        </w:rPr>
        <w:t>饲料加工</w:t>
      </w:r>
      <w:r>
        <w:rPr>
          <w:rFonts w:hint="eastAsia" w:asciiTheme="minorEastAsia" w:hAnsiTheme="minorEastAsia" w:eastAsiaTheme="minorEastAsia" w:cstheme="minorEastAsia"/>
          <w:sz w:val="24"/>
          <w:szCs w:val="24"/>
          <w:lang w:val="en-US" w:eastAsia="zh-CN"/>
        </w:rPr>
        <w:t>新技术、1+X证书、职业技能大赛、学科竞赛以及创新创业大赛等重构教学内容，以培养具有多样化、创新型、具备竞争力的高素质复合型新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农科</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E37DC83">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4410A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kern w:val="2"/>
          <w:sz w:val="24"/>
          <w:szCs w:val="24"/>
          <w:lang w:val="en-US" w:eastAsia="zh-CN" w:bidi="ar-SA"/>
        </w:rPr>
        <w:t>掌握饲料中各种营养物质的营养功能及相互关系</w:t>
      </w:r>
      <w:r>
        <w:rPr>
          <w:rFonts w:hint="eastAsia" w:asciiTheme="minorEastAsia" w:hAnsiTheme="minorEastAsia" w:cstheme="minorEastAsia"/>
          <w:kern w:val="2"/>
          <w:sz w:val="24"/>
          <w:szCs w:val="24"/>
          <w:lang w:val="en-US" w:eastAsia="zh-CN" w:bidi="ar-SA"/>
        </w:rPr>
        <w:t>；</w:t>
      </w:r>
    </w:p>
    <w:p w14:paraId="301CC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kern w:val="2"/>
          <w:sz w:val="24"/>
          <w:szCs w:val="24"/>
          <w:lang w:val="en-US" w:eastAsia="zh-CN" w:bidi="ar-SA"/>
        </w:rPr>
        <w:t>掌握饲料原料的分类方法、营养特性及利用特点</w:t>
      </w:r>
      <w:r>
        <w:rPr>
          <w:rFonts w:hint="eastAsia" w:asciiTheme="minorEastAsia" w:hAnsiTheme="minorEastAsia" w:cstheme="minorEastAsia"/>
          <w:kern w:val="2"/>
          <w:sz w:val="24"/>
          <w:szCs w:val="24"/>
          <w:lang w:val="en-US" w:eastAsia="zh-CN" w:bidi="ar-SA"/>
        </w:rPr>
        <w:t>；</w:t>
      </w:r>
    </w:p>
    <w:p w14:paraId="3BFE3A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3.</w:t>
      </w:r>
      <w:r>
        <w:rPr>
          <w:rFonts w:hint="eastAsia" w:asciiTheme="minorEastAsia" w:hAnsiTheme="minorEastAsia" w:eastAsiaTheme="minorEastAsia" w:cstheme="minorEastAsia"/>
          <w:kern w:val="2"/>
          <w:sz w:val="24"/>
          <w:szCs w:val="24"/>
          <w:lang w:val="en-US" w:eastAsia="zh-CN" w:bidi="ar-SA"/>
        </w:rPr>
        <w:t>理解动物的营养需要及饲养标准的应用</w:t>
      </w:r>
      <w:r>
        <w:rPr>
          <w:rFonts w:hint="eastAsia" w:asciiTheme="minorEastAsia" w:hAnsiTheme="minorEastAsia" w:cstheme="minorEastAsia"/>
          <w:kern w:val="2"/>
          <w:sz w:val="24"/>
          <w:szCs w:val="24"/>
          <w:lang w:val="en-US" w:eastAsia="zh-CN" w:bidi="ar-SA"/>
        </w:rPr>
        <w:t>；</w:t>
      </w:r>
    </w:p>
    <w:p w14:paraId="3F72ED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掌握饲料配方的设计方法</w:t>
      </w:r>
      <w:r>
        <w:rPr>
          <w:rFonts w:hint="eastAsia" w:asciiTheme="minorEastAsia" w:hAnsiTheme="minorEastAsia" w:cstheme="minorEastAsia"/>
          <w:kern w:val="2"/>
          <w:sz w:val="24"/>
          <w:szCs w:val="24"/>
          <w:lang w:val="en-US" w:eastAsia="zh-CN" w:bidi="ar-SA"/>
        </w:rPr>
        <w:t>；</w:t>
      </w:r>
    </w:p>
    <w:p w14:paraId="12A541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w:t>
      </w:r>
      <w:r>
        <w:rPr>
          <w:rFonts w:hint="eastAsia" w:asciiTheme="minorEastAsia" w:hAnsiTheme="minorEastAsia" w:eastAsiaTheme="minorEastAsia" w:cstheme="minorEastAsia"/>
          <w:kern w:val="2"/>
          <w:sz w:val="24"/>
          <w:szCs w:val="24"/>
          <w:lang w:val="en-US" w:eastAsia="zh-CN" w:bidi="ar-SA"/>
        </w:rPr>
        <w:t>了解饲料生产工艺流程及质量管理措施。</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C7FC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kern w:val="2"/>
          <w:sz w:val="24"/>
          <w:szCs w:val="24"/>
          <w:lang w:val="en-US" w:eastAsia="zh-CN" w:bidi="ar-SA"/>
        </w:rPr>
        <w:t>能鉴别畜禽典型营养缺乏症状，并从营养角度分析畜禽营养缺乏的原因及其防治措施</w:t>
      </w:r>
      <w:r>
        <w:rPr>
          <w:rFonts w:hint="eastAsia" w:asciiTheme="minorEastAsia" w:hAnsiTheme="minorEastAsia" w:cstheme="minorEastAsia"/>
          <w:kern w:val="2"/>
          <w:sz w:val="24"/>
          <w:szCs w:val="24"/>
          <w:lang w:val="en-US" w:eastAsia="zh-CN" w:bidi="ar-SA"/>
        </w:rPr>
        <w:t>；</w:t>
      </w:r>
    </w:p>
    <w:p w14:paraId="280B1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kern w:val="2"/>
          <w:sz w:val="24"/>
          <w:szCs w:val="24"/>
          <w:lang w:val="en-US" w:eastAsia="zh-CN" w:bidi="ar-SA"/>
        </w:rPr>
        <w:t>能对常用饲料原料进行识别与分类，能合理选择各种饲料原料</w:t>
      </w:r>
      <w:r>
        <w:rPr>
          <w:rFonts w:hint="eastAsia" w:asciiTheme="minorEastAsia" w:hAnsiTheme="minorEastAsia" w:cstheme="minorEastAsia"/>
          <w:kern w:val="2"/>
          <w:sz w:val="24"/>
          <w:szCs w:val="24"/>
          <w:lang w:val="en-US" w:eastAsia="zh-CN" w:bidi="ar-SA"/>
        </w:rPr>
        <w:t>；</w:t>
      </w:r>
    </w:p>
    <w:p w14:paraId="2D1E62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3.</w:t>
      </w:r>
      <w:r>
        <w:rPr>
          <w:rFonts w:hint="eastAsia" w:asciiTheme="minorEastAsia" w:hAnsiTheme="minorEastAsia" w:eastAsiaTheme="minorEastAsia" w:cstheme="minorEastAsia"/>
          <w:kern w:val="2"/>
          <w:sz w:val="24"/>
          <w:szCs w:val="24"/>
          <w:lang w:val="en-US" w:eastAsia="zh-CN" w:bidi="ar-SA"/>
        </w:rPr>
        <w:t>能够进行饲料原料常规养分分析操作</w:t>
      </w:r>
      <w:r>
        <w:rPr>
          <w:rFonts w:hint="eastAsia" w:asciiTheme="minorEastAsia" w:hAnsiTheme="minorEastAsia" w:cstheme="minorEastAsia"/>
          <w:kern w:val="2"/>
          <w:sz w:val="24"/>
          <w:szCs w:val="24"/>
          <w:lang w:val="en-US" w:eastAsia="zh-CN" w:bidi="ar-SA"/>
        </w:rPr>
        <w:t>；</w:t>
      </w:r>
    </w:p>
    <w:p w14:paraId="330CE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能设计各种简单饲料</w:t>
      </w:r>
      <w:r>
        <w:rPr>
          <w:rFonts w:hint="eastAsia" w:asciiTheme="minorEastAsia" w:hAnsiTheme="minorEastAsia" w:cstheme="minorEastAsia"/>
          <w:kern w:val="2"/>
          <w:sz w:val="24"/>
          <w:szCs w:val="24"/>
          <w:lang w:val="en-US" w:eastAsia="zh-CN" w:bidi="ar-SA"/>
        </w:rPr>
        <w:t>配方；</w:t>
      </w:r>
    </w:p>
    <w:p w14:paraId="2D51C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w:t>
      </w:r>
      <w:r>
        <w:rPr>
          <w:rFonts w:hint="eastAsia" w:asciiTheme="minorEastAsia" w:hAnsiTheme="minorEastAsia" w:eastAsiaTheme="minorEastAsia" w:cstheme="minorEastAsia"/>
          <w:kern w:val="2"/>
          <w:sz w:val="24"/>
          <w:szCs w:val="24"/>
          <w:lang w:val="en-US" w:eastAsia="zh-CN" w:bidi="ar-SA"/>
        </w:rPr>
        <w:t>能识别饲料生产的主要设备及生产操作过程。</w:t>
      </w:r>
    </w:p>
    <w:p w14:paraId="4BB288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486CB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1.培养学生</w:t>
      </w:r>
      <w:r>
        <w:rPr>
          <w:rFonts w:hint="eastAsia" w:asciiTheme="minorEastAsia" w:hAnsiTheme="minorEastAsia" w:eastAsiaTheme="minorEastAsia" w:cstheme="minorEastAsia"/>
          <w:kern w:val="2"/>
          <w:sz w:val="24"/>
          <w:szCs w:val="24"/>
          <w:lang w:val="en-US" w:eastAsia="zh-CN" w:bidi="ar-SA"/>
        </w:rPr>
        <w:t>具有质量意识、绿色环保意识、安全意识</w:t>
      </w:r>
      <w:r>
        <w:rPr>
          <w:rFonts w:hint="eastAsia" w:asciiTheme="minorEastAsia" w:hAnsiTheme="minorEastAsia" w:cstheme="minorEastAsia"/>
          <w:kern w:val="2"/>
          <w:sz w:val="24"/>
          <w:szCs w:val="24"/>
          <w:lang w:val="en-US" w:eastAsia="zh-CN" w:bidi="ar-SA"/>
        </w:rPr>
        <w:t>以及良好的</w:t>
      </w:r>
      <w:r>
        <w:rPr>
          <w:rFonts w:hint="eastAsia" w:asciiTheme="minorEastAsia" w:hAnsiTheme="minorEastAsia" w:eastAsiaTheme="minorEastAsia" w:cstheme="minorEastAsia"/>
          <w:kern w:val="2"/>
          <w:sz w:val="24"/>
          <w:szCs w:val="24"/>
          <w:lang w:val="en-US" w:eastAsia="zh-CN" w:bidi="ar-SA"/>
        </w:rPr>
        <w:t>信息素养</w:t>
      </w:r>
      <w:r>
        <w:rPr>
          <w:rFonts w:hint="eastAsia" w:asciiTheme="minorEastAsia" w:hAnsiTheme="minorEastAsia" w:cstheme="minorEastAsia"/>
          <w:kern w:val="2"/>
          <w:sz w:val="24"/>
          <w:szCs w:val="24"/>
          <w:lang w:val="en-US" w:eastAsia="zh-CN" w:bidi="ar-SA"/>
        </w:rPr>
        <w:t>；</w:t>
      </w:r>
    </w:p>
    <w:p w14:paraId="02F13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2.培养学生</w:t>
      </w:r>
      <w:r>
        <w:rPr>
          <w:rFonts w:hint="eastAsia" w:asciiTheme="minorEastAsia" w:hAnsiTheme="minorEastAsia" w:eastAsiaTheme="minorEastAsia" w:cstheme="minorEastAsia"/>
          <w:kern w:val="2"/>
          <w:sz w:val="24"/>
          <w:szCs w:val="24"/>
          <w:lang w:val="en-US" w:eastAsia="zh-CN" w:bidi="ar-SA"/>
        </w:rPr>
        <w:t>勇于奋斗、乐观向上</w:t>
      </w:r>
      <w:r>
        <w:rPr>
          <w:rFonts w:hint="eastAsia" w:asciiTheme="minorEastAsia" w:hAnsiTheme="minorEastAsia" w:cstheme="minorEastAsia"/>
          <w:kern w:val="2"/>
          <w:sz w:val="24"/>
          <w:szCs w:val="24"/>
          <w:lang w:val="en-US" w:eastAsia="zh-CN" w:bidi="ar-SA"/>
        </w:rPr>
        <w:t>的态度</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cstheme="minorEastAsia"/>
          <w:kern w:val="2"/>
          <w:sz w:val="24"/>
          <w:szCs w:val="24"/>
          <w:lang w:val="en-US" w:eastAsia="zh-CN" w:bidi="ar-SA"/>
        </w:rPr>
        <w:t>以及自学能力和自我解决问题的能力；</w:t>
      </w:r>
    </w:p>
    <w:p w14:paraId="37869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kern w:val="2"/>
          <w:sz w:val="24"/>
          <w:szCs w:val="24"/>
          <w:lang w:val="en-US" w:eastAsia="zh-CN" w:bidi="ar-SA"/>
        </w:rPr>
        <w:t>培养学生细心观察的习惯、吃苦耐劳的品质和积极进取的学习态度</w:t>
      </w:r>
      <w:r>
        <w:rPr>
          <w:rFonts w:hint="eastAsia" w:asciiTheme="minorEastAsia" w:hAnsiTheme="minorEastAsia" w:cstheme="minorEastAsia"/>
          <w:kern w:val="2"/>
          <w:sz w:val="24"/>
          <w:szCs w:val="24"/>
          <w:lang w:val="en-US" w:eastAsia="zh-CN" w:bidi="ar-SA"/>
        </w:rPr>
        <w:t>；</w:t>
      </w:r>
    </w:p>
    <w:p w14:paraId="14602E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4.培养学生的团队协作意识和良好的沟通表达能力；</w:t>
      </w:r>
    </w:p>
    <w:p w14:paraId="712C3F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5.培养学生</w:t>
      </w:r>
      <w:r>
        <w:rPr>
          <w:rFonts w:hint="eastAsia" w:asciiTheme="minorEastAsia" w:hAnsiTheme="minorEastAsia" w:eastAsiaTheme="minorEastAsia" w:cstheme="minorEastAsia"/>
          <w:sz w:val="24"/>
          <w:szCs w:val="24"/>
        </w:rPr>
        <w:t>爱岗敬业、诚实守信、精益求精的职业理念</w:t>
      </w:r>
      <w:r>
        <w:rPr>
          <w:rFonts w:hint="eastAsia" w:asciiTheme="minorEastAsia" w:hAnsiTheme="minorEastAsia" w:cstheme="minorEastAsia"/>
          <w:sz w:val="24"/>
          <w:szCs w:val="24"/>
          <w:lang w:eastAsia="zh-CN"/>
        </w:rPr>
        <w:t>。</w:t>
      </w:r>
    </w:p>
    <w:p w14:paraId="5CE192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598BB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0F082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021CB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33143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家国情怀：结合行业发展历程，激发民族自豪感和爱国热情，培养“强国有我”的使命意识；​​</w:t>
      </w:r>
    </w:p>
    <w:p w14:paraId="49869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生态文明：树立绿色发展理念，在实践操作中注重环境保护，践行生态责任。</w:t>
      </w:r>
    </w:p>
    <w:p w14:paraId="3467C1E2">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1375"/>
        <w:gridCol w:w="2321"/>
        <w:gridCol w:w="2224"/>
        <w:gridCol w:w="1330"/>
        <w:gridCol w:w="947"/>
      </w:tblGrid>
      <w:tr w14:paraId="2E05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23" w:type="pct"/>
            <w:vAlign w:val="center"/>
          </w:tcPr>
          <w:p w14:paraId="6D4356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34" w:type="pct"/>
            <w:vAlign w:val="center"/>
          </w:tcPr>
          <w:p w14:paraId="4F0844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239" w:type="pct"/>
            <w:vAlign w:val="center"/>
          </w:tcPr>
          <w:p w14:paraId="03DA0E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87" w:type="pct"/>
            <w:vAlign w:val="center"/>
          </w:tcPr>
          <w:p w14:paraId="510756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710" w:type="pct"/>
            <w:vAlign w:val="center"/>
          </w:tcPr>
          <w:p w14:paraId="6A8FC1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05" w:type="pct"/>
            <w:vAlign w:val="center"/>
          </w:tcPr>
          <w:p w14:paraId="7C7D2C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7034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3A861A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动物营养与供应</w:t>
            </w:r>
          </w:p>
        </w:tc>
        <w:tc>
          <w:tcPr>
            <w:tcW w:w="734" w:type="pct"/>
            <w:vAlign w:val="center"/>
          </w:tcPr>
          <w:p w14:paraId="5514AC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动物营养基础</w:t>
            </w:r>
          </w:p>
        </w:tc>
        <w:tc>
          <w:tcPr>
            <w:tcW w:w="1239" w:type="pct"/>
            <w:vAlign w:val="center"/>
          </w:tcPr>
          <w:p w14:paraId="20E2AA6E">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饲料的养分组成；动物对饲料的消化与吸收；能量在动物体内的转化</w:t>
            </w:r>
          </w:p>
        </w:tc>
        <w:tc>
          <w:tcPr>
            <w:tcW w:w="1187" w:type="pct"/>
            <w:vAlign w:val="center"/>
          </w:tcPr>
          <w:p w14:paraId="7114D37C">
            <w:pPr>
              <w:pStyle w:val="45"/>
              <w:keepNext w:val="0"/>
              <w:keepLines w:val="0"/>
              <w:pageBreakBefore w:val="0"/>
              <w:widowControl w:val="0"/>
              <w:kinsoku/>
              <w:wordWrap/>
              <w:overflowPunct/>
              <w:topLinePunct w:val="0"/>
              <w:autoSpaceDE/>
              <w:autoSpaceDN/>
              <w:bidi w:val="0"/>
              <w:spacing w:before="34" w:line="440" w:lineRule="exact"/>
              <w:jc w:val="center"/>
              <w:textAlignment w:val="auto"/>
              <w:rPr>
                <w:rFonts w:hint="default" w:ascii="宋体" w:hAnsi="宋体" w:eastAsia="仿宋" w:cs="宋体"/>
                <w:sz w:val="21"/>
                <w:szCs w:val="21"/>
                <w:lang w:val="en-US" w:eastAsia="zh-CN"/>
              </w:rPr>
            </w:pPr>
            <w:r>
              <w:rPr>
                <w:rFonts w:hint="eastAsia" w:ascii="宋体" w:hAnsi="宋体" w:eastAsia="宋体" w:cs="宋体"/>
                <w:spacing w:val="-4"/>
                <w:sz w:val="21"/>
                <w:szCs w:val="21"/>
                <w:lang w:val="en-US" w:eastAsia="zh-CN"/>
              </w:rPr>
              <w:t>能总结</w:t>
            </w:r>
            <w:r>
              <w:rPr>
                <w:rFonts w:hint="eastAsia" w:ascii="宋体" w:hAnsi="宋体" w:eastAsia="宋体" w:cs="宋体"/>
                <w:spacing w:val="-4"/>
                <w:sz w:val="21"/>
                <w:szCs w:val="21"/>
              </w:rPr>
              <w:t>动植物</w:t>
            </w:r>
            <w:r>
              <w:rPr>
                <w:rFonts w:hint="eastAsia" w:ascii="宋体" w:hAnsi="宋体" w:eastAsia="宋体" w:cs="宋体"/>
                <w:spacing w:val="-4"/>
                <w:sz w:val="21"/>
                <w:szCs w:val="21"/>
                <w:lang w:val="en-US" w:eastAsia="zh-CN"/>
              </w:rPr>
              <w:t>营养</w:t>
            </w:r>
            <w:r>
              <w:rPr>
                <w:rFonts w:hint="eastAsia" w:ascii="宋体" w:hAnsi="宋体" w:eastAsia="宋体" w:cs="宋体"/>
                <w:spacing w:val="-4"/>
                <w:sz w:val="21"/>
                <w:szCs w:val="21"/>
              </w:rPr>
              <w:t>的相</w:t>
            </w:r>
            <w:r>
              <w:rPr>
                <w:rFonts w:hint="eastAsia" w:ascii="宋体" w:hAnsi="宋体" w:eastAsia="宋体" w:cs="宋体"/>
                <w:spacing w:val="-7"/>
                <w:sz w:val="21"/>
                <w:szCs w:val="21"/>
              </w:rPr>
              <w:t>同点和不同点</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lang w:val="en-US" w:eastAsia="zh-CN"/>
              </w:rPr>
              <w:t>阐述</w:t>
            </w:r>
            <w:r>
              <w:rPr>
                <w:rFonts w:hint="eastAsia" w:ascii="宋体" w:hAnsi="宋体" w:eastAsia="宋体" w:cs="宋体"/>
                <w:sz w:val="21"/>
                <w:szCs w:val="21"/>
                <w:lang w:val="en-US" w:eastAsia="zh-CN"/>
              </w:rPr>
              <w:t>能量在动物体内的转化过程。</w:t>
            </w:r>
          </w:p>
        </w:tc>
        <w:tc>
          <w:tcPr>
            <w:tcW w:w="710" w:type="pct"/>
            <w:vAlign w:val="center"/>
          </w:tcPr>
          <w:p w14:paraId="2DC69D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规范严谨</w:t>
            </w:r>
          </w:p>
          <w:p w14:paraId="534C23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团队协作</w:t>
            </w:r>
          </w:p>
        </w:tc>
        <w:tc>
          <w:tcPr>
            <w:tcW w:w="505" w:type="pct"/>
            <w:vAlign w:val="center"/>
          </w:tcPr>
          <w:p w14:paraId="73833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1B1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DBE774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6A1454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蛋白质合理供给</w:t>
            </w:r>
          </w:p>
        </w:tc>
        <w:tc>
          <w:tcPr>
            <w:tcW w:w="1239" w:type="pct"/>
            <w:vAlign w:val="center"/>
          </w:tcPr>
          <w:p w14:paraId="2E1040F8">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蛋白质的营养生理作用；氨基酸的种类；动物对蛋白质的消化代谢</w:t>
            </w:r>
          </w:p>
        </w:tc>
        <w:tc>
          <w:tcPr>
            <w:tcW w:w="1187" w:type="pct"/>
            <w:vAlign w:val="center"/>
          </w:tcPr>
          <w:p w14:paraId="28DE9B09">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在生产中能合理供给动物所需的蛋白质</w:t>
            </w:r>
          </w:p>
        </w:tc>
        <w:tc>
          <w:tcPr>
            <w:tcW w:w="710" w:type="pct"/>
            <w:vAlign w:val="center"/>
          </w:tcPr>
          <w:p w14:paraId="25434F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精益求精</w:t>
            </w:r>
          </w:p>
          <w:p w14:paraId="4FD4B4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1FA568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F28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5500EB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1E2886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糖类合理供给</w:t>
            </w:r>
          </w:p>
        </w:tc>
        <w:tc>
          <w:tcPr>
            <w:tcW w:w="1239" w:type="pct"/>
            <w:vAlign w:val="center"/>
          </w:tcPr>
          <w:p w14:paraId="1CB8778A">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糖类的营养生理作用；动物对糖类的消化吸收</w:t>
            </w:r>
          </w:p>
        </w:tc>
        <w:tc>
          <w:tcPr>
            <w:tcW w:w="1187" w:type="pct"/>
            <w:vAlign w:val="center"/>
          </w:tcPr>
          <w:p w14:paraId="166DAA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在生产中能合理供给动物所需的糖类</w:t>
            </w:r>
          </w:p>
        </w:tc>
        <w:tc>
          <w:tcPr>
            <w:tcW w:w="710" w:type="pct"/>
            <w:vAlign w:val="center"/>
          </w:tcPr>
          <w:p w14:paraId="7447A4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p w14:paraId="79B538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爱岗敬业</w:t>
            </w:r>
          </w:p>
        </w:tc>
        <w:tc>
          <w:tcPr>
            <w:tcW w:w="505" w:type="pct"/>
            <w:vAlign w:val="center"/>
          </w:tcPr>
          <w:p w14:paraId="2E420E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7559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77CA81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742C12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脂类合理供给</w:t>
            </w:r>
          </w:p>
        </w:tc>
        <w:tc>
          <w:tcPr>
            <w:tcW w:w="1239" w:type="pct"/>
            <w:vAlign w:val="center"/>
          </w:tcPr>
          <w:p w14:paraId="0CCC06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脂类的营养生理作用；动物对脂类的消化吸收代谢</w:t>
            </w:r>
          </w:p>
        </w:tc>
        <w:tc>
          <w:tcPr>
            <w:tcW w:w="1187" w:type="pct"/>
            <w:vAlign w:val="center"/>
          </w:tcPr>
          <w:p w14:paraId="3FC40D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在生产中能合理供给动物所需的脂肪</w:t>
            </w:r>
          </w:p>
        </w:tc>
        <w:tc>
          <w:tcPr>
            <w:tcW w:w="710" w:type="pct"/>
            <w:vAlign w:val="center"/>
          </w:tcPr>
          <w:p w14:paraId="787668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职业道德</w:t>
            </w:r>
          </w:p>
          <w:p w14:paraId="0DA9E3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tc>
        <w:tc>
          <w:tcPr>
            <w:tcW w:w="505" w:type="pct"/>
            <w:vAlign w:val="center"/>
          </w:tcPr>
          <w:p w14:paraId="7DC906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285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6BCF6A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40D6A7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矿物质合理供给</w:t>
            </w:r>
          </w:p>
        </w:tc>
        <w:tc>
          <w:tcPr>
            <w:tcW w:w="1239" w:type="pct"/>
            <w:vAlign w:val="center"/>
          </w:tcPr>
          <w:p w14:paraId="3DBBE7A6">
            <w:pPr>
              <w:pStyle w:val="45"/>
              <w:keepNext w:val="0"/>
              <w:keepLines w:val="0"/>
              <w:pageBreakBefore w:val="0"/>
              <w:widowControl w:val="0"/>
              <w:kinsoku/>
              <w:wordWrap/>
              <w:overflowPunct/>
              <w:topLinePunct w:val="0"/>
              <w:autoSpaceDE/>
              <w:autoSpaceDN/>
              <w:bidi w:val="0"/>
              <w:spacing w:before="178"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矿物质的营养生理功能和缺乏症</w:t>
            </w:r>
          </w:p>
        </w:tc>
        <w:tc>
          <w:tcPr>
            <w:tcW w:w="1187" w:type="pct"/>
            <w:vAlign w:val="center"/>
          </w:tcPr>
          <w:p w14:paraId="3FBFA345">
            <w:pPr>
              <w:pStyle w:val="45"/>
              <w:keepNext w:val="0"/>
              <w:keepLines w:val="0"/>
              <w:pageBreakBefore w:val="0"/>
              <w:widowControl w:val="0"/>
              <w:kinsoku/>
              <w:wordWrap/>
              <w:overflowPunct/>
              <w:topLinePunct w:val="0"/>
              <w:autoSpaceDE/>
              <w:autoSpaceDN/>
              <w:bidi w:val="0"/>
              <w:spacing w:before="41"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能对动物的矿物质缺乏症进行诊断并预防</w:t>
            </w:r>
          </w:p>
        </w:tc>
        <w:tc>
          <w:tcPr>
            <w:tcW w:w="710" w:type="pct"/>
            <w:vAlign w:val="center"/>
          </w:tcPr>
          <w:p w14:paraId="65E10E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职业道德</w:t>
            </w:r>
          </w:p>
          <w:p w14:paraId="2344ED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遵纪守法</w:t>
            </w:r>
          </w:p>
        </w:tc>
        <w:tc>
          <w:tcPr>
            <w:tcW w:w="505" w:type="pct"/>
            <w:vAlign w:val="center"/>
          </w:tcPr>
          <w:p w14:paraId="3BB3B5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FC0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9BAEDD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2458C8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维生素合理供给</w:t>
            </w:r>
          </w:p>
        </w:tc>
        <w:tc>
          <w:tcPr>
            <w:tcW w:w="1239" w:type="pct"/>
            <w:vAlign w:val="center"/>
          </w:tcPr>
          <w:p w14:paraId="0BEFA8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维生素的营养生理功能和缺乏症</w:t>
            </w:r>
          </w:p>
        </w:tc>
        <w:tc>
          <w:tcPr>
            <w:tcW w:w="1187" w:type="pct"/>
            <w:vAlign w:val="center"/>
          </w:tcPr>
          <w:p w14:paraId="35CD98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能对动物的维生素缺乏症进行诊断并预防</w:t>
            </w:r>
          </w:p>
        </w:tc>
        <w:tc>
          <w:tcPr>
            <w:tcW w:w="710" w:type="pct"/>
            <w:vAlign w:val="center"/>
          </w:tcPr>
          <w:p w14:paraId="1BBFBC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职业道德</w:t>
            </w:r>
          </w:p>
          <w:p w14:paraId="11E15A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tc>
        <w:tc>
          <w:tcPr>
            <w:tcW w:w="505" w:type="pct"/>
            <w:vAlign w:val="center"/>
          </w:tcPr>
          <w:p w14:paraId="5F5424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E12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F59950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59A4EE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水分合理供给</w:t>
            </w:r>
          </w:p>
        </w:tc>
        <w:tc>
          <w:tcPr>
            <w:tcW w:w="1239" w:type="pct"/>
            <w:vAlign w:val="center"/>
          </w:tcPr>
          <w:p w14:paraId="6587D5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水的营养生理功能及来源</w:t>
            </w:r>
          </w:p>
        </w:tc>
        <w:tc>
          <w:tcPr>
            <w:tcW w:w="1187" w:type="pct"/>
            <w:vAlign w:val="center"/>
          </w:tcPr>
          <w:p w14:paraId="5EBA34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在生产中能合理供给各种动物所需要的水分</w:t>
            </w:r>
          </w:p>
        </w:tc>
        <w:tc>
          <w:tcPr>
            <w:tcW w:w="710" w:type="pct"/>
            <w:vAlign w:val="center"/>
          </w:tcPr>
          <w:p w14:paraId="4788D5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p w14:paraId="301D77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tc>
        <w:tc>
          <w:tcPr>
            <w:tcW w:w="505" w:type="pct"/>
            <w:vAlign w:val="center"/>
          </w:tcPr>
          <w:p w14:paraId="5A8AB0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4DA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6C9202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饲料原料识别及其利用</w:t>
            </w:r>
          </w:p>
        </w:tc>
        <w:tc>
          <w:tcPr>
            <w:tcW w:w="734" w:type="pct"/>
            <w:vAlign w:val="center"/>
          </w:tcPr>
          <w:p w14:paraId="093E48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饲料原料分类</w:t>
            </w:r>
          </w:p>
        </w:tc>
        <w:tc>
          <w:tcPr>
            <w:tcW w:w="1239" w:type="pct"/>
            <w:vAlign w:val="center"/>
          </w:tcPr>
          <w:p w14:paraId="72B07AA0">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国际饲料分类法和中国饲料分类法</w:t>
            </w:r>
          </w:p>
        </w:tc>
        <w:tc>
          <w:tcPr>
            <w:tcW w:w="1187" w:type="pct"/>
            <w:vAlign w:val="center"/>
          </w:tcPr>
          <w:p w14:paraId="642B70A3">
            <w:pPr>
              <w:pStyle w:val="45"/>
              <w:keepNext w:val="0"/>
              <w:keepLines w:val="0"/>
              <w:pageBreakBefore w:val="0"/>
              <w:widowControl w:val="0"/>
              <w:kinsoku/>
              <w:wordWrap/>
              <w:overflowPunct/>
              <w:topLinePunct w:val="0"/>
              <w:autoSpaceDE/>
              <w:autoSpaceDN/>
              <w:bidi w:val="0"/>
              <w:spacing w:before="26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能依据分类法对饲料进行分类</w:t>
            </w:r>
          </w:p>
        </w:tc>
        <w:tc>
          <w:tcPr>
            <w:tcW w:w="710" w:type="pct"/>
            <w:vAlign w:val="center"/>
          </w:tcPr>
          <w:p w14:paraId="442E38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p w14:paraId="0B9E86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5E01B3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绿色生产</w:t>
            </w:r>
          </w:p>
        </w:tc>
        <w:tc>
          <w:tcPr>
            <w:tcW w:w="505" w:type="pct"/>
            <w:vAlign w:val="center"/>
          </w:tcPr>
          <w:p w14:paraId="3B9687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240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0A8D5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4AE600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粗饲料识别及其利用</w:t>
            </w:r>
          </w:p>
        </w:tc>
        <w:tc>
          <w:tcPr>
            <w:tcW w:w="1239" w:type="pct"/>
            <w:vAlign w:val="center"/>
          </w:tcPr>
          <w:p w14:paraId="47995E07">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粗饲料的营养特性；粗饲料的加工处理方法</w:t>
            </w:r>
          </w:p>
        </w:tc>
        <w:tc>
          <w:tcPr>
            <w:tcW w:w="1187" w:type="pct"/>
            <w:vAlign w:val="center"/>
          </w:tcPr>
          <w:p w14:paraId="74FAF9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能在生产中合理利用粗饲料；会制作氨化秸秆</w:t>
            </w:r>
          </w:p>
        </w:tc>
        <w:tc>
          <w:tcPr>
            <w:tcW w:w="710" w:type="pct"/>
            <w:vAlign w:val="center"/>
          </w:tcPr>
          <w:p w14:paraId="3F8311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46B9A6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绿色生产</w:t>
            </w:r>
          </w:p>
        </w:tc>
        <w:tc>
          <w:tcPr>
            <w:tcW w:w="505" w:type="pct"/>
            <w:vAlign w:val="center"/>
          </w:tcPr>
          <w:p w14:paraId="6CFDD0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E25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5F0F3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09EAF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青饲料识别及其利用</w:t>
            </w:r>
          </w:p>
        </w:tc>
        <w:tc>
          <w:tcPr>
            <w:tcW w:w="1239" w:type="pct"/>
            <w:vAlign w:val="center"/>
          </w:tcPr>
          <w:p w14:paraId="1F2395D8">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青绿饲料的种类及营养特性</w:t>
            </w:r>
          </w:p>
        </w:tc>
        <w:tc>
          <w:tcPr>
            <w:tcW w:w="1187" w:type="pct"/>
            <w:vAlign w:val="center"/>
          </w:tcPr>
          <w:p w14:paraId="2FC7AE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能在生产中合理利用青绿饲料</w:t>
            </w:r>
          </w:p>
        </w:tc>
        <w:tc>
          <w:tcPr>
            <w:tcW w:w="710" w:type="pct"/>
            <w:vAlign w:val="center"/>
          </w:tcPr>
          <w:p w14:paraId="034AF1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5F5A12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绿色生产</w:t>
            </w:r>
          </w:p>
        </w:tc>
        <w:tc>
          <w:tcPr>
            <w:tcW w:w="505" w:type="pct"/>
            <w:vAlign w:val="center"/>
          </w:tcPr>
          <w:p w14:paraId="6B61DD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1DB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CFB82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66E56E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青贮饲料识别及其利用</w:t>
            </w:r>
          </w:p>
        </w:tc>
        <w:tc>
          <w:tcPr>
            <w:tcW w:w="1239" w:type="pct"/>
            <w:vAlign w:val="center"/>
          </w:tcPr>
          <w:p w14:paraId="5A6A54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青贮饲料的制作及品质鉴定</w:t>
            </w:r>
          </w:p>
        </w:tc>
        <w:tc>
          <w:tcPr>
            <w:tcW w:w="1187" w:type="pct"/>
            <w:vAlign w:val="center"/>
          </w:tcPr>
          <w:p w14:paraId="0226AAF0">
            <w:pPr>
              <w:pStyle w:val="45"/>
              <w:keepNext w:val="0"/>
              <w:keepLines w:val="0"/>
              <w:pageBreakBefore w:val="0"/>
              <w:widowControl w:val="0"/>
              <w:kinsoku/>
              <w:wordWrap/>
              <w:overflowPunct/>
              <w:topLinePunct w:val="0"/>
              <w:autoSpaceDE/>
              <w:autoSpaceDN/>
              <w:bidi w:val="0"/>
              <w:spacing w:before="3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能够制作青贮饲料并鉴定青贮饲料品质</w:t>
            </w:r>
          </w:p>
        </w:tc>
        <w:tc>
          <w:tcPr>
            <w:tcW w:w="710" w:type="pct"/>
            <w:vAlign w:val="center"/>
          </w:tcPr>
          <w:p w14:paraId="08D553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质量安全</w:t>
            </w:r>
          </w:p>
          <w:p w14:paraId="1A6AA1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绿色生产</w:t>
            </w:r>
          </w:p>
          <w:p w14:paraId="3E9E92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团结协作</w:t>
            </w:r>
          </w:p>
        </w:tc>
        <w:tc>
          <w:tcPr>
            <w:tcW w:w="505" w:type="pct"/>
            <w:vAlign w:val="center"/>
          </w:tcPr>
          <w:p w14:paraId="2BDD5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B1C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0F8297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20714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能量饲料识别及其利用</w:t>
            </w:r>
          </w:p>
        </w:tc>
        <w:tc>
          <w:tcPr>
            <w:tcW w:w="1239" w:type="pct"/>
            <w:vAlign w:val="center"/>
          </w:tcPr>
          <w:p w14:paraId="0784DE73">
            <w:pPr>
              <w:pStyle w:val="45"/>
              <w:keepNext w:val="0"/>
              <w:keepLines w:val="0"/>
              <w:pageBreakBefore w:val="0"/>
              <w:widowControl w:val="0"/>
              <w:kinsoku/>
              <w:wordWrap/>
              <w:overflowPunct/>
              <w:topLinePunct w:val="0"/>
              <w:autoSpaceDE/>
              <w:autoSpaceDN/>
              <w:bidi w:val="0"/>
              <w:spacing w:before="39" w:line="440" w:lineRule="exact"/>
              <w:ind w:right="105"/>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能量饲料的种类及营养特点</w:t>
            </w:r>
          </w:p>
        </w:tc>
        <w:tc>
          <w:tcPr>
            <w:tcW w:w="1187" w:type="pct"/>
            <w:vAlign w:val="center"/>
          </w:tcPr>
          <w:p w14:paraId="14D5096A">
            <w:pPr>
              <w:pStyle w:val="45"/>
              <w:keepNext w:val="0"/>
              <w:keepLines w:val="0"/>
              <w:pageBreakBefore w:val="0"/>
              <w:widowControl w:val="0"/>
              <w:kinsoku/>
              <w:wordWrap/>
              <w:overflowPunct/>
              <w:topLinePunct w:val="0"/>
              <w:autoSpaceDE/>
              <w:autoSpaceDN/>
              <w:bidi w:val="0"/>
              <w:spacing w:before="78" w:line="440" w:lineRule="exact"/>
              <w:ind w:right="146"/>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能够根据不同畜禽的生理生产需要合理选择能量饲料</w:t>
            </w:r>
          </w:p>
        </w:tc>
        <w:tc>
          <w:tcPr>
            <w:tcW w:w="710" w:type="pct"/>
            <w:vAlign w:val="center"/>
          </w:tcPr>
          <w:p w14:paraId="4A1960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遵纪守法</w:t>
            </w:r>
          </w:p>
          <w:p w14:paraId="14615D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32BBB0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质量意识</w:t>
            </w:r>
          </w:p>
          <w:p w14:paraId="207BAC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505" w:type="pct"/>
            <w:vAlign w:val="center"/>
          </w:tcPr>
          <w:p w14:paraId="2B08EB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1AE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E803C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C9883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蛋白质饲料识别及其利用</w:t>
            </w:r>
          </w:p>
        </w:tc>
        <w:tc>
          <w:tcPr>
            <w:tcW w:w="1239" w:type="pct"/>
            <w:vAlign w:val="center"/>
          </w:tcPr>
          <w:p w14:paraId="59DEEB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蛋白质饲料的种类及营养特点</w:t>
            </w:r>
          </w:p>
        </w:tc>
        <w:tc>
          <w:tcPr>
            <w:tcW w:w="1187" w:type="pct"/>
            <w:vAlign w:val="center"/>
          </w:tcPr>
          <w:p w14:paraId="5FA09C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能够根据不同畜禽的生理生产需要合理选择蛋白质饲料</w:t>
            </w:r>
          </w:p>
        </w:tc>
        <w:tc>
          <w:tcPr>
            <w:tcW w:w="710" w:type="pct"/>
            <w:vAlign w:val="center"/>
          </w:tcPr>
          <w:p w14:paraId="722355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质量安全</w:t>
            </w:r>
          </w:p>
          <w:p w14:paraId="2001E3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tc>
        <w:tc>
          <w:tcPr>
            <w:tcW w:w="505" w:type="pct"/>
            <w:vAlign w:val="center"/>
          </w:tcPr>
          <w:p w14:paraId="3FCDD0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0F75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D45EC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06BE1B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矿物质饲料识别及其利用</w:t>
            </w:r>
          </w:p>
        </w:tc>
        <w:tc>
          <w:tcPr>
            <w:tcW w:w="1239" w:type="pct"/>
            <w:vAlign w:val="center"/>
          </w:tcPr>
          <w:p w14:paraId="314A8B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矿物质饲料的种类及营养特点</w:t>
            </w:r>
          </w:p>
        </w:tc>
        <w:tc>
          <w:tcPr>
            <w:tcW w:w="1187" w:type="pct"/>
            <w:vAlign w:val="center"/>
          </w:tcPr>
          <w:p w14:paraId="09D0B8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能够根据不同畜禽的生理生产需要合理选择矿物质饲料</w:t>
            </w:r>
          </w:p>
        </w:tc>
        <w:tc>
          <w:tcPr>
            <w:tcW w:w="710" w:type="pct"/>
            <w:vAlign w:val="center"/>
          </w:tcPr>
          <w:p w14:paraId="382233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418498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遵纪守法</w:t>
            </w:r>
          </w:p>
        </w:tc>
        <w:tc>
          <w:tcPr>
            <w:tcW w:w="505" w:type="pct"/>
            <w:vAlign w:val="center"/>
          </w:tcPr>
          <w:p w14:paraId="7F7D64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2AA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633DFD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6D7E5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饲料添加剂识别及其利用</w:t>
            </w:r>
          </w:p>
        </w:tc>
        <w:tc>
          <w:tcPr>
            <w:tcW w:w="1239" w:type="pct"/>
            <w:vAlign w:val="center"/>
          </w:tcPr>
          <w:p w14:paraId="1A3108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饲料添加剂的分类及特点</w:t>
            </w:r>
          </w:p>
        </w:tc>
        <w:tc>
          <w:tcPr>
            <w:tcW w:w="1187" w:type="pct"/>
            <w:vAlign w:val="center"/>
          </w:tcPr>
          <w:p w14:paraId="66B552F9">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能够依据动物不同生产情况选择相应的饲料添加剂并明确使用量</w:t>
            </w:r>
          </w:p>
        </w:tc>
        <w:tc>
          <w:tcPr>
            <w:tcW w:w="710" w:type="pct"/>
            <w:vAlign w:val="center"/>
          </w:tcPr>
          <w:p w14:paraId="7AA248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绿色生产</w:t>
            </w:r>
          </w:p>
          <w:p w14:paraId="5D6626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诚实守信</w:t>
            </w:r>
          </w:p>
          <w:p w14:paraId="5D01F3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遵纪守法</w:t>
            </w:r>
          </w:p>
        </w:tc>
        <w:tc>
          <w:tcPr>
            <w:tcW w:w="505" w:type="pct"/>
            <w:vAlign w:val="center"/>
          </w:tcPr>
          <w:p w14:paraId="193F54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044D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A491D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饲料配方设计</w:t>
            </w:r>
          </w:p>
        </w:tc>
        <w:tc>
          <w:tcPr>
            <w:tcW w:w="734" w:type="pct"/>
            <w:vAlign w:val="center"/>
          </w:tcPr>
          <w:p w14:paraId="3FF314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动物的营养需要</w:t>
            </w:r>
          </w:p>
        </w:tc>
        <w:tc>
          <w:tcPr>
            <w:tcW w:w="1239" w:type="pct"/>
            <w:vAlign w:val="center"/>
          </w:tcPr>
          <w:p w14:paraId="4E626930">
            <w:pPr>
              <w:pStyle w:val="45"/>
              <w:keepNext w:val="0"/>
              <w:keepLines w:val="0"/>
              <w:pageBreakBefore w:val="0"/>
              <w:widowControl w:val="0"/>
              <w:kinsoku/>
              <w:wordWrap/>
              <w:overflowPunct/>
              <w:topLinePunct w:val="0"/>
              <w:autoSpaceDE/>
              <w:autoSpaceDN/>
              <w:bidi w:val="0"/>
              <w:spacing w:before="3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不同动物不同阶段营养</w:t>
            </w:r>
            <w:r>
              <w:rPr>
                <w:rFonts w:hint="eastAsia" w:ascii="宋体" w:hAnsi="宋体" w:eastAsia="宋体" w:cs="宋体"/>
                <w:spacing w:val="-6"/>
                <w:sz w:val="21"/>
                <w:szCs w:val="21"/>
              </w:rPr>
              <w:t>需要的特点</w:t>
            </w:r>
          </w:p>
        </w:tc>
        <w:tc>
          <w:tcPr>
            <w:tcW w:w="1187" w:type="pct"/>
            <w:vAlign w:val="center"/>
          </w:tcPr>
          <w:p w14:paraId="68EDC822">
            <w:pPr>
              <w:pStyle w:val="45"/>
              <w:keepNext w:val="0"/>
              <w:keepLines w:val="0"/>
              <w:pageBreakBefore w:val="0"/>
              <w:widowControl w:val="0"/>
              <w:kinsoku/>
              <w:wordWrap/>
              <w:overflowPunct/>
              <w:topLinePunct w:val="0"/>
              <w:autoSpaceDE/>
              <w:autoSpaceDN/>
              <w:bidi w:val="0"/>
              <w:spacing w:before="179"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在生产中能判断动物在不同状态下的营养需要</w:t>
            </w:r>
          </w:p>
        </w:tc>
        <w:tc>
          <w:tcPr>
            <w:tcW w:w="710" w:type="pct"/>
            <w:vAlign w:val="center"/>
          </w:tcPr>
          <w:p w14:paraId="73837D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严谨求实</w:t>
            </w:r>
          </w:p>
          <w:p w14:paraId="13397C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创新思维</w:t>
            </w:r>
          </w:p>
        </w:tc>
        <w:tc>
          <w:tcPr>
            <w:tcW w:w="505" w:type="pct"/>
            <w:vAlign w:val="center"/>
          </w:tcPr>
          <w:p w14:paraId="70CFCE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A5C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3CFC4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4CE6D8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饲养标准合理应用</w:t>
            </w:r>
          </w:p>
        </w:tc>
        <w:tc>
          <w:tcPr>
            <w:tcW w:w="1239" w:type="pct"/>
            <w:vAlign w:val="center"/>
          </w:tcPr>
          <w:p w14:paraId="0FA4C234">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饲养标准</w:t>
            </w:r>
            <w:r>
              <w:rPr>
                <w:rFonts w:hint="eastAsia" w:ascii="宋体" w:hAnsi="宋体" w:eastAsia="宋体" w:cs="宋体"/>
                <w:spacing w:val="-7"/>
                <w:sz w:val="21"/>
                <w:szCs w:val="21"/>
              </w:rPr>
              <w:t>的概念、内容及</w:t>
            </w:r>
            <w:r>
              <w:rPr>
                <w:rFonts w:hint="eastAsia" w:ascii="宋体" w:hAnsi="宋体" w:eastAsia="宋体" w:cs="宋体"/>
                <w:spacing w:val="-4"/>
                <w:sz w:val="21"/>
                <w:szCs w:val="21"/>
              </w:rPr>
              <w:t>其表达</w:t>
            </w:r>
            <w:r>
              <w:rPr>
                <w:rFonts w:hint="eastAsia" w:ascii="宋体" w:hAnsi="宋体" w:eastAsia="宋体" w:cs="宋体"/>
                <w:spacing w:val="-4"/>
                <w:sz w:val="21"/>
                <w:szCs w:val="21"/>
                <w:lang w:val="en-US" w:eastAsia="zh-CN"/>
              </w:rPr>
              <w:t>方式</w:t>
            </w:r>
          </w:p>
        </w:tc>
        <w:tc>
          <w:tcPr>
            <w:tcW w:w="1187" w:type="pct"/>
            <w:vAlign w:val="center"/>
          </w:tcPr>
          <w:p w14:paraId="410BA962">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能够根据畜禽具体</w:t>
            </w:r>
            <w:r>
              <w:rPr>
                <w:rFonts w:hint="eastAsia" w:ascii="宋体" w:hAnsi="宋体" w:eastAsia="宋体" w:cs="宋体"/>
                <w:spacing w:val="-3"/>
                <w:sz w:val="21"/>
                <w:szCs w:val="21"/>
              </w:rPr>
              <w:t>情况</w:t>
            </w:r>
            <w:r>
              <w:rPr>
                <w:rFonts w:hint="eastAsia" w:ascii="宋体" w:hAnsi="宋体" w:eastAsia="宋体" w:cs="宋体"/>
                <w:spacing w:val="-3"/>
                <w:sz w:val="21"/>
                <w:szCs w:val="21"/>
                <w:lang w:val="en-US" w:eastAsia="zh-CN"/>
              </w:rPr>
              <w:t>正确选用</w:t>
            </w:r>
            <w:r>
              <w:rPr>
                <w:rFonts w:hint="eastAsia" w:ascii="宋体" w:hAnsi="宋体" w:eastAsia="宋体" w:cs="宋体"/>
                <w:spacing w:val="-3"/>
                <w:sz w:val="21"/>
                <w:szCs w:val="21"/>
              </w:rPr>
              <w:t>饲养</w:t>
            </w:r>
            <w:r>
              <w:rPr>
                <w:rFonts w:hint="eastAsia" w:ascii="宋体" w:hAnsi="宋体" w:eastAsia="宋体" w:cs="宋体"/>
                <w:spacing w:val="-8"/>
                <w:sz w:val="21"/>
                <w:szCs w:val="21"/>
              </w:rPr>
              <w:t>标准</w:t>
            </w:r>
          </w:p>
        </w:tc>
        <w:tc>
          <w:tcPr>
            <w:tcW w:w="710" w:type="pct"/>
            <w:vAlign w:val="center"/>
          </w:tcPr>
          <w:p w14:paraId="4BD781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爱岗敬业</w:t>
            </w:r>
          </w:p>
          <w:p w14:paraId="4902FD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tc>
        <w:tc>
          <w:tcPr>
            <w:tcW w:w="505" w:type="pct"/>
            <w:vAlign w:val="center"/>
          </w:tcPr>
          <w:p w14:paraId="60D972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842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61359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4ACE9C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饲料配方设计</w:t>
            </w:r>
          </w:p>
        </w:tc>
        <w:tc>
          <w:tcPr>
            <w:tcW w:w="1239" w:type="pct"/>
            <w:vAlign w:val="center"/>
          </w:tcPr>
          <w:p w14:paraId="583941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配合饲料配方设计的原则和方法</w:t>
            </w:r>
          </w:p>
        </w:tc>
        <w:tc>
          <w:tcPr>
            <w:tcW w:w="1187" w:type="pct"/>
            <w:vAlign w:val="center"/>
          </w:tcPr>
          <w:p w14:paraId="7992EB05">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能为不同类型的动物设计合理的全价饲料配方</w:t>
            </w:r>
          </w:p>
        </w:tc>
        <w:tc>
          <w:tcPr>
            <w:tcW w:w="710" w:type="pct"/>
            <w:vAlign w:val="center"/>
          </w:tcPr>
          <w:p w14:paraId="7B4BF7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p w14:paraId="425A79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创新思维</w:t>
            </w:r>
          </w:p>
        </w:tc>
        <w:tc>
          <w:tcPr>
            <w:tcW w:w="505" w:type="pct"/>
            <w:vAlign w:val="center"/>
          </w:tcPr>
          <w:p w14:paraId="14C62B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00D8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94B5B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配合饲料加工生产及品质管理</w:t>
            </w:r>
          </w:p>
        </w:tc>
        <w:tc>
          <w:tcPr>
            <w:tcW w:w="734" w:type="pct"/>
            <w:vAlign w:val="center"/>
          </w:tcPr>
          <w:p w14:paraId="442E35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配合饲料加工生产</w:t>
            </w:r>
          </w:p>
        </w:tc>
        <w:tc>
          <w:tcPr>
            <w:tcW w:w="1239" w:type="pct"/>
            <w:vAlign w:val="center"/>
          </w:tcPr>
          <w:p w14:paraId="598A2F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配合饲料加工工艺流程，配合饲料生产的主要加工设备</w:t>
            </w:r>
          </w:p>
        </w:tc>
        <w:tc>
          <w:tcPr>
            <w:tcW w:w="1187" w:type="pct"/>
            <w:vAlign w:val="center"/>
          </w:tcPr>
          <w:p w14:paraId="5BC9C7AD">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评价生产不同饲料的工艺与设备特点</w:t>
            </w:r>
          </w:p>
        </w:tc>
        <w:tc>
          <w:tcPr>
            <w:tcW w:w="710" w:type="pct"/>
            <w:vAlign w:val="center"/>
          </w:tcPr>
          <w:p w14:paraId="1B32A0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吃苦耐劳</w:t>
            </w:r>
          </w:p>
          <w:p w14:paraId="4E045B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精益求精</w:t>
            </w:r>
          </w:p>
          <w:p w14:paraId="250B78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奋斗精神</w:t>
            </w:r>
          </w:p>
        </w:tc>
        <w:tc>
          <w:tcPr>
            <w:tcW w:w="505" w:type="pct"/>
            <w:vAlign w:val="center"/>
          </w:tcPr>
          <w:p w14:paraId="637292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CBF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02824E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C9B9A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配合饲料质量管理</w:t>
            </w:r>
          </w:p>
        </w:tc>
        <w:tc>
          <w:tcPr>
            <w:tcW w:w="1239" w:type="pct"/>
            <w:vAlign w:val="center"/>
          </w:tcPr>
          <w:p w14:paraId="2E4BC4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配合饲料产品质量控制的标准，饲料质量检测的方法</w:t>
            </w:r>
          </w:p>
        </w:tc>
        <w:tc>
          <w:tcPr>
            <w:tcW w:w="1187" w:type="pct"/>
            <w:vAlign w:val="center"/>
          </w:tcPr>
          <w:p w14:paraId="181AE855">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能够对配合饲料加工生产的各个环节进行有效的质量控制</w:t>
            </w:r>
          </w:p>
        </w:tc>
        <w:tc>
          <w:tcPr>
            <w:tcW w:w="710" w:type="pct"/>
            <w:vAlign w:val="center"/>
          </w:tcPr>
          <w:p w14:paraId="1EA9B6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质量意识</w:t>
            </w:r>
          </w:p>
          <w:p w14:paraId="33C244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安全意识</w:t>
            </w:r>
          </w:p>
        </w:tc>
        <w:tc>
          <w:tcPr>
            <w:tcW w:w="505" w:type="pct"/>
            <w:vAlign w:val="center"/>
          </w:tcPr>
          <w:p w14:paraId="40FB67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C7E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0A4B63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C47A8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日粮饲喂效果检查</w:t>
            </w:r>
          </w:p>
        </w:tc>
        <w:tc>
          <w:tcPr>
            <w:tcW w:w="1239" w:type="pct"/>
            <w:vAlign w:val="center"/>
          </w:tcPr>
          <w:p w14:paraId="04C1C2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畜禽饲养效果市场调查的方法和程序</w:t>
            </w:r>
          </w:p>
        </w:tc>
        <w:tc>
          <w:tcPr>
            <w:tcW w:w="1187" w:type="pct"/>
            <w:vAlign w:val="center"/>
          </w:tcPr>
          <w:p w14:paraId="1D3F4DA0">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能够对饲养试验效果进行正确的评价</w:t>
            </w:r>
          </w:p>
        </w:tc>
        <w:tc>
          <w:tcPr>
            <w:tcW w:w="710" w:type="pct"/>
            <w:vAlign w:val="center"/>
          </w:tcPr>
          <w:p w14:paraId="40E107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爱岗敬业</w:t>
            </w:r>
          </w:p>
          <w:p w14:paraId="7BEC1C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绿色环保意识</w:t>
            </w:r>
          </w:p>
          <w:p w14:paraId="0B416B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p>
        </w:tc>
        <w:tc>
          <w:tcPr>
            <w:tcW w:w="505" w:type="pct"/>
            <w:vAlign w:val="center"/>
          </w:tcPr>
          <w:p w14:paraId="382AA9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6AC25352">
      <w:pPr>
        <w:pStyle w:val="3"/>
        <w:numPr>
          <w:ilvl w:val="0"/>
          <w:numId w:val="2"/>
        </w:numPr>
        <w:bidi w:val="0"/>
        <w:ind w:left="420" w:leftChars="0" w:firstLineChars="0"/>
        <w:rPr>
          <w:rFonts w:hint="eastAsia"/>
          <w:lang w:val="en-US" w:eastAsia="zh-CN"/>
        </w:rPr>
      </w:pPr>
      <w:r>
        <w:rPr>
          <w:rFonts w:hint="eastAsia"/>
          <w:lang w:val="en-US" w:eastAsia="zh-CN"/>
        </w:rPr>
        <w:t>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40"/>
        <w:gridCol w:w="2166"/>
        <w:gridCol w:w="1347"/>
        <w:gridCol w:w="3637"/>
      </w:tblGrid>
      <w:tr w14:paraId="658E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0E2923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347EE5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B347D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BB6751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04E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D07CE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0CA1A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252C0A1">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0BE2084B">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237B074">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出勤制度（30%）、作业（40%）、课堂提问（30%）</w:t>
            </w:r>
          </w:p>
        </w:tc>
      </w:tr>
      <w:tr w14:paraId="267E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46F686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AE90F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20395C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374B875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662E57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7E461E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8CDE01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DBBFE0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251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D06A41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BAE3B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33FEDE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以技能操作和饲料原料识别方式进行</w:t>
            </w:r>
          </w:p>
        </w:tc>
        <w:tc>
          <w:tcPr>
            <w:tcW w:w="1311" w:type="dxa"/>
            <w:tcBorders>
              <w:left w:val="single" w:color="auto" w:sz="4" w:space="0"/>
              <w:right w:val="single" w:color="auto" w:sz="4" w:space="0"/>
            </w:tcBorders>
            <w:vAlign w:val="center"/>
          </w:tcPr>
          <w:p w14:paraId="084E7AF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064615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以学生动手能力和对饲料原料识别的能力进行考核</w:t>
            </w:r>
          </w:p>
        </w:tc>
      </w:tr>
      <w:tr w14:paraId="5B78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DFB8F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5280038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45DC51D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F49CF5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对课程进行总体考核，考核学生对基本知识和基本技能的掌握程度</w:t>
            </w:r>
          </w:p>
        </w:tc>
      </w:tr>
    </w:tbl>
    <w:p w14:paraId="69CC4DC6">
      <w:pPr>
        <w:pStyle w:val="3"/>
        <w:bidi w:val="0"/>
        <w:rPr>
          <w:rFonts w:hint="eastAsia"/>
          <w:lang w:val="en-US" w:eastAsia="zh-CN"/>
        </w:rPr>
      </w:pPr>
      <w:r>
        <w:rPr>
          <w:rFonts w:hint="eastAsia"/>
          <w:lang w:val="en-US" w:eastAsia="zh-CN"/>
        </w:rPr>
        <w:t>七、课程实施与保障</w:t>
      </w:r>
    </w:p>
    <w:p w14:paraId="5EB8F5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1E9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本课程建议采用探究式以及项目教学方法，选用线上教学组织形式，建议采用信息化教学法、小组协作等教学方法，选用小组合作等学习方法,依托校内学习通等课程资源和教学平台实施教学。</w:t>
      </w:r>
    </w:p>
    <w:p w14:paraId="23F2CA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3CE6A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绿色生产”、“质量安全”的课程思政价值链，结合中国科学家以及行业畜牧师的经历，将绿色环保意识和质量安全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45487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50494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8D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61268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9015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420"/>
        <w:gridCol w:w="3816"/>
        <w:gridCol w:w="2321"/>
      </w:tblGrid>
      <w:tr w14:paraId="4F36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A351BB5">
            <w:pPr>
              <w:pStyle w:val="9"/>
              <w:ind w:firstLine="0" w:firstLineChars="0"/>
              <w:rPr>
                <w:rFonts w:ascii="宋体" w:hAnsi="宋体" w:cs="宋体"/>
                <w:iCs/>
                <w:sz w:val="21"/>
                <w:szCs w:val="21"/>
              </w:rPr>
            </w:pPr>
            <w:r>
              <w:rPr>
                <w:rFonts w:hint="eastAsia" w:ascii="宋体" w:hAnsi="宋体" w:cs="宋体"/>
                <w:iCs/>
                <w:sz w:val="21"/>
                <w:szCs w:val="21"/>
              </w:rPr>
              <w:t>序号</w:t>
            </w:r>
          </w:p>
        </w:tc>
        <w:tc>
          <w:tcPr>
            <w:tcW w:w="2420" w:type="dxa"/>
            <w:noWrap w:val="0"/>
            <w:vAlign w:val="top"/>
          </w:tcPr>
          <w:p w14:paraId="1D5F03E2">
            <w:pPr>
              <w:pStyle w:val="9"/>
              <w:ind w:firstLine="0" w:firstLineChars="0"/>
              <w:rPr>
                <w:rFonts w:ascii="宋体" w:hAnsi="宋体" w:cs="宋体"/>
                <w:iCs/>
                <w:sz w:val="21"/>
                <w:szCs w:val="21"/>
              </w:rPr>
            </w:pPr>
            <w:r>
              <w:rPr>
                <w:rFonts w:hint="eastAsia" w:ascii="宋体" w:hAnsi="宋体" w:cs="宋体"/>
                <w:iCs/>
                <w:sz w:val="21"/>
                <w:szCs w:val="21"/>
              </w:rPr>
              <w:t>名称</w:t>
            </w:r>
          </w:p>
        </w:tc>
        <w:tc>
          <w:tcPr>
            <w:tcW w:w="3816" w:type="dxa"/>
            <w:noWrap w:val="0"/>
            <w:vAlign w:val="top"/>
          </w:tcPr>
          <w:p w14:paraId="0FABD09D">
            <w:pPr>
              <w:pStyle w:val="9"/>
              <w:ind w:firstLine="0" w:firstLineChars="0"/>
              <w:rPr>
                <w:rFonts w:ascii="宋体" w:hAnsi="宋体" w:cs="宋体"/>
                <w:iCs/>
                <w:sz w:val="21"/>
                <w:szCs w:val="21"/>
              </w:rPr>
            </w:pPr>
            <w:r>
              <w:rPr>
                <w:rFonts w:hint="eastAsia" w:ascii="宋体" w:hAnsi="宋体" w:cs="宋体"/>
                <w:iCs/>
                <w:sz w:val="21"/>
                <w:szCs w:val="21"/>
              </w:rPr>
              <w:t>基本配置要求</w:t>
            </w:r>
          </w:p>
        </w:tc>
        <w:tc>
          <w:tcPr>
            <w:tcW w:w="2321" w:type="dxa"/>
            <w:noWrap w:val="0"/>
            <w:vAlign w:val="top"/>
          </w:tcPr>
          <w:p w14:paraId="1A5872FF">
            <w:pPr>
              <w:pStyle w:val="9"/>
              <w:ind w:firstLine="0" w:firstLineChars="0"/>
              <w:rPr>
                <w:rFonts w:ascii="宋体" w:hAnsi="宋体" w:cs="宋体"/>
                <w:iCs/>
                <w:sz w:val="21"/>
                <w:szCs w:val="21"/>
              </w:rPr>
            </w:pPr>
            <w:r>
              <w:rPr>
                <w:rFonts w:hint="eastAsia" w:ascii="宋体" w:hAnsi="宋体" w:cs="宋体"/>
                <w:iCs/>
                <w:sz w:val="21"/>
                <w:szCs w:val="21"/>
              </w:rPr>
              <w:t>功能说明</w:t>
            </w:r>
          </w:p>
        </w:tc>
      </w:tr>
      <w:tr w14:paraId="03B4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75A9E5B0">
            <w:pPr>
              <w:pStyle w:val="9"/>
              <w:ind w:firstLine="0" w:firstLineChars="0"/>
              <w:rPr>
                <w:rFonts w:ascii="宋体" w:hAnsi="宋体" w:cs="宋体"/>
                <w:iCs/>
                <w:sz w:val="21"/>
                <w:szCs w:val="21"/>
              </w:rPr>
            </w:pPr>
            <w:r>
              <w:rPr>
                <w:rFonts w:hint="eastAsia" w:ascii="宋体" w:hAnsi="宋体" w:cs="宋体"/>
                <w:iCs/>
                <w:sz w:val="21"/>
                <w:szCs w:val="21"/>
              </w:rPr>
              <w:t>1</w:t>
            </w:r>
          </w:p>
        </w:tc>
        <w:tc>
          <w:tcPr>
            <w:tcW w:w="2420" w:type="dxa"/>
            <w:noWrap w:val="0"/>
            <w:vAlign w:val="center"/>
          </w:tcPr>
          <w:p w14:paraId="121A4635">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3816" w:type="dxa"/>
            <w:noWrap w:val="0"/>
            <w:vAlign w:val="center"/>
          </w:tcPr>
          <w:p w14:paraId="731BA2F7">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2321" w:type="dxa"/>
            <w:noWrap w:val="0"/>
            <w:vAlign w:val="center"/>
          </w:tcPr>
          <w:p w14:paraId="774FAD2E">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6D81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42137C4C">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2420" w:type="dxa"/>
            <w:noWrap w:val="0"/>
            <w:vAlign w:val="center"/>
          </w:tcPr>
          <w:p w14:paraId="12D81BA4">
            <w:pPr>
              <w:pStyle w:val="9"/>
              <w:ind w:firstLine="0" w:firstLineChars="0"/>
              <w:rPr>
                <w:rFonts w:ascii="宋体" w:hAnsi="宋体" w:cs="宋体"/>
                <w:iCs/>
                <w:sz w:val="21"/>
                <w:szCs w:val="21"/>
              </w:rPr>
            </w:pPr>
            <w:r>
              <w:rPr>
                <w:rFonts w:hint="eastAsia" w:ascii="宋体" w:hAnsi="宋体" w:cs="宋体"/>
                <w:iCs/>
                <w:sz w:val="21"/>
                <w:szCs w:val="21"/>
              </w:rPr>
              <w:t>显微镜实训室</w:t>
            </w:r>
          </w:p>
        </w:tc>
        <w:tc>
          <w:tcPr>
            <w:tcW w:w="3816" w:type="dxa"/>
            <w:noWrap w:val="0"/>
            <w:vAlign w:val="center"/>
          </w:tcPr>
          <w:p w14:paraId="74447249">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rPr>
              <w:t>光学显微镜、</w:t>
            </w:r>
            <w:r>
              <w:rPr>
                <w:rFonts w:hint="eastAsia" w:ascii="宋体" w:hAnsi="宋体" w:cs="宋体"/>
                <w:iCs/>
                <w:sz w:val="21"/>
                <w:szCs w:val="21"/>
                <w:lang w:val="en-US" w:eastAsia="zh-CN"/>
              </w:rPr>
              <w:t>电子显微镜、教学一体机</w:t>
            </w:r>
          </w:p>
        </w:tc>
        <w:tc>
          <w:tcPr>
            <w:tcW w:w="2321" w:type="dxa"/>
            <w:noWrap w:val="0"/>
            <w:vAlign w:val="center"/>
          </w:tcPr>
          <w:p w14:paraId="040AFCA7">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w:t>
            </w:r>
            <w:r>
              <w:rPr>
                <w:rFonts w:hint="eastAsia" w:ascii="宋体" w:hAnsi="宋体" w:cs="宋体"/>
                <w:iCs/>
                <w:sz w:val="21"/>
                <w:szCs w:val="21"/>
              </w:rPr>
              <w:t>显微镜观察</w:t>
            </w:r>
            <w:r>
              <w:rPr>
                <w:rFonts w:hint="eastAsia" w:ascii="宋体" w:hAnsi="宋体" w:cs="宋体"/>
                <w:iCs/>
                <w:sz w:val="21"/>
                <w:szCs w:val="21"/>
                <w:lang w:val="en-US" w:eastAsia="zh-CN"/>
              </w:rPr>
              <w:t>饲料原料并鉴别</w:t>
            </w:r>
          </w:p>
        </w:tc>
      </w:tr>
      <w:tr w14:paraId="21FC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36080E3">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3</w:t>
            </w:r>
          </w:p>
        </w:tc>
        <w:tc>
          <w:tcPr>
            <w:tcW w:w="2420" w:type="dxa"/>
            <w:noWrap w:val="0"/>
            <w:vAlign w:val="center"/>
          </w:tcPr>
          <w:p w14:paraId="60D1A348">
            <w:pPr>
              <w:pStyle w:val="9"/>
              <w:ind w:firstLine="0" w:firstLineChars="0"/>
              <w:rPr>
                <w:rFonts w:ascii="宋体" w:hAnsi="宋体" w:cs="宋体"/>
                <w:iCs/>
                <w:sz w:val="21"/>
                <w:szCs w:val="21"/>
              </w:rPr>
            </w:pPr>
            <w:r>
              <w:rPr>
                <w:rFonts w:hint="eastAsia" w:ascii="宋体" w:hAnsi="宋体" w:cs="宋体"/>
                <w:iCs/>
                <w:sz w:val="21"/>
                <w:szCs w:val="21"/>
              </w:rPr>
              <w:t>动物营养与饲料</w:t>
            </w:r>
            <w:r>
              <w:rPr>
                <w:rFonts w:hint="eastAsia" w:ascii="宋体" w:hAnsi="宋体" w:cs="宋体"/>
                <w:iCs/>
                <w:sz w:val="21"/>
                <w:szCs w:val="21"/>
                <w:lang w:val="en-US" w:eastAsia="zh-CN"/>
              </w:rPr>
              <w:t>分析</w:t>
            </w:r>
            <w:r>
              <w:rPr>
                <w:rFonts w:hint="eastAsia" w:ascii="宋体" w:hAnsi="宋体" w:cs="宋体"/>
                <w:iCs/>
                <w:sz w:val="21"/>
                <w:szCs w:val="21"/>
              </w:rPr>
              <w:t>实训室</w:t>
            </w:r>
          </w:p>
        </w:tc>
        <w:tc>
          <w:tcPr>
            <w:tcW w:w="3816" w:type="dxa"/>
            <w:noWrap w:val="0"/>
            <w:vAlign w:val="center"/>
          </w:tcPr>
          <w:p w14:paraId="4B528EBC">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凯氏定氮仪、粗纤维测定仪、脂肪测定仪、分光光度计、马弗炉、恒温干燥箱</w:t>
            </w:r>
          </w:p>
        </w:tc>
        <w:tc>
          <w:tcPr>
            <w:tcW w:w="2321" w:type="dxa"/>
            <w:noWrap w:val="0"/>
            <w:vAlign w:val="center"/>
          </w:tcPr>
          <w:p w14:paraId="1C783CE6">
            <w:pPr>
              <w:pStyle w:val="9"/>
              <w:ind w:firstLine="0" w:firstLineChars="0"/>
              <w:rPr>
                <w:rFonts w:ascii="宋体" w:hAnsi="宋体" w:cs="宋体"/>
                <w:iCs/>
                <w:sz w:val="21"/>
                <w:szCs w:val="21"/>
              </w:rPr>
            </w:pPr>
            <w:r>
              <w:rPr>
                <w:rFonts w:hint="eastAsia" w:ascii="宋体" w:hAnsi="宋体" w:cs="宋体"/>
                <w:iCs/>
                <w:sz w:val="21"/>
                <w:szCs w:val="21"/>
              </w:rPr>
              <w:t>动物饲料成分指标检测</w:t>
            </w:r>
          </w:p>
        </w:tc>
      </w:tr>
      <w:tr w14:paraId="4F57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30BCA336">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4</w:t>
            </w:r>
          </w:p>
        </w:tc>
        <w:tc>
          <w:tcPr>
            <w:tcW w:w="2420" w:type="dxa"/>
            <w:noWrap w:val="0"/>
            <w:vAlign w:val="center"/>
          </w:tcPr>
          <w:p w14:paraId="024C7258">
            <w:pPr>
              <w:pStyle w:val="9"/>
              <w:ind w:firstLine="0" w:firstLineChars="0"/>
              <w:rPr>
                <w:rFonts w:ascii="宋体" w:hAnsi="宋体" w:cs="宋体"/>
                <w:iCs/>
                <w:sz w:val="21"/>
                <w:szCs w:val="21"/>
              </w:rPr>
            </w:pPr>
            <w:r>
              <w:rPr>
                <w:rFonts w:hint="eastAsia" w:ascii="宋体" w:hAnsi="宋体" w:cs="宋体"/>
                <w:iCs/>
                <w:sz w:val="21"/>
                <w:szCs w:val="21"/>
              </w:rPr>
              <w:t>动物</w:t>
            </w:r>
            <w:r>
              <w:rPr>
                <w:rFonts w:hint="eastAsia" w:ascii="宋体" w:hAnsi="宋体" w:cs="宋体"/>
                <w:iCs/>
                <w:sz w:val="21"/>
                <w:szCs w:val="21"/>
                <w:lang w:val="en-US" w:eastAsia="zh-CN"/>
              </w:rPr>
              <w:t>生产</w:t>
            </w:r>
            <w:r>
              <w:rPr>
                <w:rFonts w:hint="eastAsia" w:ascii="宋体" w:hAnsi="宋体" w:cs="宋体"/>
                <w:iCs/>
                <w:sz w:val="21"/>
                <w:szCs w:val="21"/>
              </w:rPr>
              <w:t>虚拟</w:t>
            </w:r>
            <w:r>
              <w:rPr>
                <w:rFonts w:hint="eastAsia" w:ascii="宋体" w:hAnsi="宋体" w:cs="宋体"/>
                <w:iCs/>
                <w:sz w:val="21"/>
                <w:szCs w:val="21"/>
                <w:lang w:val="en-US" w:eastAsia="zh-CN"/>
              </w:rPr>
              <w:t>仿真</w:t>
            </w:r>
            <w:r>
              <w:rPr>
                <w:rFonts w:hint="eastAsia" w:ascii="宋体" w:hAnsi="宋体" w:cs="宋体"/>
                <w:iCs/>
                <w:sz w:val="21"/>
                <w:szCs w:val="21"/>
              </w:rPr>
              <w:t>实训室</w:t>
            </w:r>
          </w:p>
        </w:tc>
        <w:tc>
          <w:tcPr>
            <w:tcW w:w="3816" w:type="dxa"/>
            <w:noWrap w:val="0"/>
            <w:vAlign w:val="center"/>
          </w:tcPr>
          <w:p w14:paraId="29C2AE1D">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鸡、猪、牛常用饲料加工调制</w:t>
            </w:r>
          </w:p>
        </w:tc>
        <w:tc>
          <w:tcPr>
            <w:tcW w:w="2321" w:type="dxa"/>
            <w:noWrap w:val="0"/>
            <w:vAlign w:val="center"/>
          </w:tcPr>
          <w:p w14:paraId="5B67AD2A">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rPr>
              <w:t>虚拟仿真软件成像进行动物</w:t>
            </w:r>
            <w:r>
              <w:rPr>
                <w:rFonts w:hint="eastAsia" w:ascii="宋体" w:hAnsi="宋体" w:cs="宋体"/>
                <w:iCs/>
                <w:sz w:val="21"/>
                <w:szCs w:val="21"/>
                <w:lang w:val="en-US" w:eastAsia="zh-CN"/>
              </w:rPr>
              <w:t>常用饲料加工调制</w:t>
            </w:r>
          </w:p>
        </w:tc>
      </w:tr>
    </w:tbl>
    <w:p w14:paraId="539A37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EB77B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40FA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主要参考书目《中国饲料学》、《动物营养与饲料》、《中国饲料大全》、《动物营养与饲料加工》、《饲料添加剂》。</w:t>
      </w:r>
    </w:p>
    <w:p w14:paraId="0B756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主要参考学术期刊《中国畜牧兽医》、《黑龙江畜牧兽医》、《畜牧兽医学报》、《畜牧与兽医》、《动物营养学报》。</w:t>
      </w:r>
    </w:p>
    <w:p w14:paraId="7F682397">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43688F9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lang w:val="en-US" w:eastAsia="zh-CN"/>
        </w:rPr>
        <w:sectPr>
          <w:footerReference r:id="rId7" w:type="default"/>
          <w:pgSz w:w="11906" w:h="16839"/>
          <w:pgMar w:top="1431" w:right="1321" w:bottom="1157" w:left="1433" w:header="0" w:footer="567" w:gutter="0"/>
          <w:pgNumType w:fmt="decimal" w:start="1"/>
          <w:cols w:space="720" w:num="1"/>
        </w:sectPr>
      </w:pPr>
      <w:r>
        <w:rPr>
          <w:rFonts w:hint="eastAsia" w:ascii="宋体" w:hAnsi="宋体" w:eastAsia="宋体" w:cs="宋体"/>
          <w:sz w:val="24"/>
          <w:szCs w:val="24"/>
          <w:lang w:val="en-US" w:eastAsia="zh-CN"/>
        </w:rPr>
        <w:t>智慧职教、中国大学慕课、学习通、学习强国、饲料行业信息网、中国畜牧兽医信息网、中国畜牧业信息网</w:t>
      </w:r>
    </w:p>
    <w:p w14:paraId="6ECFD408">
      <w:pPr>
        <w:pStyle w:val="2"/>
        <w:bidi w:val="0"/>
        <w:jc w:val="center"/>
        <w:rPr>
          <w:rFonts w:hint="eastAsia"/>
          <w:lang w:val="en-US" w:eastAsia="zh-CN"/>
        </w:rPr>
      </w:pPr>
      <w:bookmarkStart w:id="20" w:name="_Toc24186"/>
      <w:bookmarkStart w:id="21" w:name="_Toc15093"/>
      <w:r>
        <w:rPr>
          <w:rFonts w:hint="eastAsia"/>
          <w:lang w:val="en-US" w:eastAsia="zh-CN"/>
        </w:rPr>
        <w:t>《动物遗传繁育》课程标准</w:t>
      </w:r>
      <w:bookmarkEnd w:id="20"/>
      <w:bookmarkEnd w:id="21"/>
    </w:p>
    <w:p w14:paraId="1FE0359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1293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C99C2D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455E5D0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动物遗传繁育</w:t>
            </w:r>
          </w:p>
        </w:tc>
        <w:tc>
          <w:tcPr>
            <w:tcW w:w="534" w:type="pct"/>
            <w:tcBorders>
              <w:top w:val="single" w:color="auto" w:sz="4" w:space="0"/>
              <w:left w:val="single" w:color="auto" w:sz="4" w:space="0"/>
              <w:bottom w:val="single" w:color="auto" w:sz="4" w:space="0"/>
              <w:right w:val="single" w:color="auto" w:sz="4" w:space="0"/>
            </w:tcBorders>
            <w:vAlign w:val="center"/>
          </w:tcPr>
          <w:p w14:paraId="28494E4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47CE2F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xcxm2400</w:t>
            </w:r>
            <w:r>
              <w:rPr>
                <w:rFonts w:hint="eastAsia" w:ascii="宋体" w:hAnsi="宋体" w:eastAsia="宋体"/>
                <w:color w:val="auto"/>
                <w:sz w:val="21"/>
                <w:szCs w:val="21"/>
                <w:lang w:val="en-US" w:eastAsia="zh-CN"/>
              </w:rPr>
              <w:t>4</w:t>
            </w:r>
          </w:p>
        </w:tc>
      </w:tr>
      <w:tr w14:paraId="23E1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C40E49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4F7B1146">
            <w:pPr>
              <w:jc w:val="center"/>
              <w:rPr>
                <w:rFonts w:hint="default" w:eastAsiaTheme="minorEastAsia"/>
                <w:lang w:val="en-US" w:eastAsia="zh-CN"/>
              </w:rPr>
            </w:pPr>
            <w:r>
              <w:rPr>
                <w:rFonts w:hint="eastAsia"/>
                <w:lang w:val="en-US" w:eastAsia="zh-CN"/>
              </w:rPr>
              <w:t>48学时</w:t>
            </w:r>
          </w:p>
        </w:tc>
        <w:tc>
          <w:tcPr>
            <w:tcW w:w="874" w:type="pct"/>
            <w:tcBorders>
              <w:top w:val="single" w:color="auto" w:sz="4" w:space="0"/>
              <w:left w:val="single" w:color="auto" w:sz="4" w:space="0"/>
              <w:bottom w:val="single" w:color="auto" w:sz="4" w:space="0"/>
              <w:right w:val="single" w:color="auto" w:sz="4" w:space="0"/>
            </w:tcBorders>
          </w:tcPr>
          <w:p w14:paraId="0F7924C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5FDAEF5F">
            <w:pPr>
              <w:jc w:val="center"/>
              <w:rPr>
                <w:rFonts w:hint="eastAsia"/>
                <w:lang w:val="en-US" w:eastAsia="zh-CN"/>
              </w:rPr>
            </w:pPr>
            <w:r>
              <w:rPr>
                <w:rFonts w:hint="eastAsia"/>
                <w:lang w:val="en-US" w:eastAsia="zh-CN"/>
              </w:rPr>
              <w:t>16学时</w:t>
            </w:r>
          </w:p>
        </w:tc>
        <w:tc>
          <w:tcPr>
            <w:tcW w:w="534" w:type="pct"/>
            <w:tcBorders>
              <w:top w:val="single" w:color="auto" w:sz="4" w:space="0"/>
              <w:left w:val="single" w:color="auto" w:sz="4" w:space="0"/>
              <w:bottom w:val="single" w:color="auto" w:sz="4" w:space="0"/>
              <w:right w:val="single" w:color="auto" w:sz="4" w:space="0"/>
            </w:tcBorders>
            <w:vAlign w:val="center"/>
          </w:tcPr>
          <w:p w14:paraId="3AC9416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2928E9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4CA9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B3609D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7C2FB18">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畜牧兽医专业</w:t>
            </w:r>
          </w:p>
        </w:tc>
      </w:tr>
      <w:tr w14:paraId="74D4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93CF13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vAlign w:val="top"/>
          </w:tcPr>
          <w:p w14:paraId="3CBE573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B002BE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9F9B09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EE5429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63E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E41E5E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3E042273">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szCs w:val="24"/>
                <w:lang w:val="en-US" w:eastAsia="zh-CN" w:bidi="ar-SA"/>
              </w:rPr>
              <w:t>《动物解剖与组织胚胎学》、《动物生理学》、《动物生物化学》</w:t>
            </w:r>
          </w:p>
        </w:tc>
      </w:tr>
      <w:tr w14:paraId="36C8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E3739C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7D8D214B">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《猪生产学》、《禽生产学》、《牛生产学》、《羊生产学》</w:t>
            </w:r>
          </w:p>
        </w:tc>
      </w:tr>
      <w:tr w14:paraId="54B9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329318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265FCA03">
            <w:pPr>
              <w:rPr>
                <w:rFonts w:hint="eastAsia" w:ascii="Arial" w:hAnsi="Arial" w:eastAsia="宋体" w:cs="Arial"/>
                <w:kern w:val="2"/>
                <w:sz w:val="21"/>
                <w:szCs w:val="24"/>
                <w:lang w:val="en-US" w:eastAsia="zh-CN" w:bidi="ar-SA"/>
              </w:rPr>
            </w:pPr>
            <w:r>
              <w:rPr>
                <w:rFonts w:hint="eastAsia" w:ascii="Arial" w:hAnsi="Arial" w:eastAsia="宋体" w:cs="Arial"/>
              </w:rPr>
              <w:t>《动物</w:t>
            </w:r>
            <w:r>
              <w:rPr>
                <w:rFonts w:hint="eastAsia" w:ascii="Arial" w:hAnsi="Arial" w:eastAsia="宋体" w:cs="Arial"/>
                <w:lang w:val="en-US" w:eastAsia="zh-CN"/>
              </w:rPr>
              <w:t>遗传繁育</w:t>
            </w:r>
            <w:r>
              <w:rPr>
                <w:rFonts w:hint="eastAsia" w:ascii="Arial" w:hAnsi="Arial" w:eastAsia="宋体" w:cs="Arial"/>
              </w:rPr>
              <w:t>》，</w:t>
            </w:r>
            <w:r>
              <w:rPr>
                <w:rFonts w:hint="eastAsia" w:ascii="Arial" w:hAnsi="Arial" w:eastAsia="宋体" w:cs="Arial"/>
                <w:lang w:val="en-US" w:eastAsia="zh-CN"/>
              </w:rPr>
              <w:t>徐相亭，</w:t>
            </w:r>
            <w:r>
              <w:rPr>
                <w:rFonts w:hint="eastAsia" w:ascii="Arial" w:hAnsi="Arial" w:eastAsia="宋体" w:cs="Arial"/>
              </w:rPr>
              <w:t>主编，中国农业出版社，201</w:t>
            </w:r>
            <w:r>
              <w:rPr>
                <w:rFonts w:hint="eastAsia" w:ascii="Arial" w:hAnsi="Arial" w:eastAsia="宋体" w:cs="Arial"/>
                <w:lang w:val="en-US" w:eastAsia="zh-CN"/>
              </w:rPr>
              <w:t>8</w:t>
            </w:r>
            <w:r>
              <w:rPr>
                <w:rFonts w:hint="eastAsia" w:ascii="Arial" w:hAnsi="Arial" w:eastAsia="宋体" w:cs="Arial"/>
              </w:rPr>
              <w:t>年</w:t>
            </w:r>
            <w:r>
              <w:rPr>
                <w:rFonts w:hint="eastAsia" w:ascii="Arial" w:hAnsi="Arial" w:eastAsia="宋体" w:cs="Arial"/>
                <w:lang w:val="en-US" w:eastAsia="zh-CN"/>
              </w:rPr>
              <w:t>2</w:t>
            </w:r>
            <w:r>
              <w:rPr>
                <w:rFonts w:hint="eastAsia" w:ascii="Arial" w:hAnsi="Arial" w:eastAsia="宋体" w:cs="Arial"/>
              </w:rPr>
              <w:t>月</w:t>
            </w:r>
            <w:r>
              <w:rPr>
                <w:rFonts w:hint="eastAsia" w:ascii="Arial" w:hAnsi="Arial" w:eastAsia="宋体" w:cs="Arial"/>
                <w:lang w:eastAsia="zh-CN"/>
              </w:rPr>
              <w:t>，978-7-</w:t>
            </w:r>
            <w:r>
              <w:rPr>
                <w:rFonts w:hint="eastAsia" w:ascii="Arial" w:hAnsi="Arial" w:eastAsia="宋体" w:cs="Arial"/>
                <w:lang w:val="en-US" w:eastAsia="zh-CN"/>
              </w:rPr>
              <w:t>109</w:t>
            </w:r>
            <w:r>
              <w:rPr>
                <w:rFonts w:hint="eastAsia" w:ascii="Arial" w:hAnsi="Arial" w:eastAsia="宋体" w:cs="Arial"/>
                <w:lang w:eastAsia="zh-CN"/>
              </w:rPr>
              <w:t>-</w:t>
            </w:r>
            <w:r>
              <w:rPr>
                <w:rFonts w:hint="eastAsia" w:ascii="Arial" w:hAnsi="Arial" w:eastAsia="宋体" w:cs="Arial"/>
                <w:lang w:val="en-US" w:eastAsia="zh-CN"/>
              </w:rPr>
              <w:t>23900</w:t>
            </w:r>
            <w:r>
              <w:rPr>
                <w:rFonts w:hint="eastAsia" w:ascii="Arial" w:hAnsi="Arial" w:eastAsia="宋体" w:cs="Arial"/>
                <w:lang w:eastAsia="zh-CN"/>
              </w:rPr>
              <w:t>-</w:t>
            </w:r>
            <w:r>
              <w:rPr>
                <w:rFonts w:hint="eastAsia" w:ascii="Arial" w:hAnsi="Arial" w:eastAsia="宋体" w:cs="Arial"/>
                <w:lang w:val="en-US" w:eastAsia="zh-CN"/>
              </w:rPr>
              <w:t>5</w:t>
            </w:r>
          </w:p>
        </w:tc>
      </w:tr>
      <w:tr w14:paraId="4D6E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2B979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14A336AB">
            <w:pPr>
              <w:widowControl/>
              <w:jc w:val="center"/>
              <w:rPr>
                <w:rFonts w:hint="default" w:eastAsiaTheme="minorEastAsia"/>
                <w:lang w:val="en-US" w:eastAsia="zh-CN"/>
              </w:rPr>
            </w:pPr>
            <w:r>
              <w:rPr>
                <w:rFonts w:hint="eastAsia"/>
                <w:lang w:val="en-US" w:eastAsia="zh-CN"/>
              </w:rPr>
              <w:t>奚晓娥</w:t>
            </w:r>
          </w:p>
        </w:tc>
        <w:tc>
          <w:tcPr>
            <w:tcW w:w="534" w:type="pct"/>
            <w:tcBorders>
              <w:top w:val="single" w:color="auto" w:sz="4" w:space="0"/>
              <w:left w:val="single" w:color="auto" w:sz="4" w:space="0"/>
              <w:bottom w:val="single" w:color="auto" w:sz="4" w:space="0"/>
              <w:right w:val="single" w:color="auto" w:sz="4" w:space="0"/>
            </w:tcBorders>
            <w:vAlign w:val="center"/>
          </w:tcPr>
          <w:p w14:paraId="4385B0C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DB0FDF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B0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67B9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10A0117C">
            <w:pPr>
              <w:widowControl/>
              <w:jc w:val="left"/>
              <w:rPr>
                <w:rFonts w:hint="eastAsia"/>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2E8BD35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D9F43C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6815C6C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88E0B06">
      <w:pPr>
        <w:pStyle w:val="3"/>
        <w:bidi w:val="0"/>
        <w:rPr>
          <w:rFonts w:hint="eastAsia"/>
          <w:lang w:val="en-US" w:eastAsia="zh-CN"/>
        </w:rPr>
      </w:pPr>
      <w:r>
        <w:rPr>
          <w:rFonts w:hint="eastAsia"/>
          <w:lang w:val="en-US" w:eastAsia="zh-CN"/>
        </w:rPr>
        <w:t>二、课程定位</w:t>
      </w:r>
    </w:p>
    <w:p w14:paraId="5FBA52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课程，是研究畜、禽遗传基础、繁殖理论和繁殖技术的科学。</w:t>
      </w:r>
      <w:r>
        <w:rPr>
          <w:rFonts w:hint="eastAsia" w:asciiTheme="minorEastAsia" w:hAnsiTheme="minorEastAsia" w:cstheme="minorEastAsia"/>
          <w:sz w:val="24"/>
          <w:szCs w:val="24"/>
          <w:lang w:val="en-US" w:eastAsia="zh-CN"/>
        </w:rPr>
        <w:t>本课程</w:t>
      </w:r>
      <w:r>
        <w:rPr>
          <w:rFonts w:hint="eastAsia" w:asciiTheme="minorEastAsia" w:hAnsiTheme="minorEastAsia" w:eastAsiaTheme="minorEastAsia" w:cstheme="minorEastAsia"/>
          <w:sz w:val="24"/>
          <w:szCs w:val="24"/>
          <w:lang w:val="en-US" w:eastAsia="zh-CN"/>
        </w:rPr>
        <w:t>兼具理论系统性与实践指导性。作为连接动物生物学基础与畜禽生产实践的桥梁课程，其前承《动物解剖生理》《动物生物化学》等课程，后启《畜禽生产技术》《动物疫病防控》等核心课程，为学生职业发展奠定关键基础。</w:t>
      </w:r>
    </w:p>
    <w:p w14:paraId="5F2200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紧扣现代畜牧业发展需求，涵盖遗传物质基础、遗传定律、选种选配、人工授精、妊娠管理等核心模块，既强化经典理论传承，又融入行业实用技术。教学中以立德树人为根本，将工匠精神与“三农”情怀融入教学，通过理实一体化模式，培养学生运用遗传规律分析生产问题、开展良种选育及繁殖技术操作的核心能力，助力学生达到家畜繁殖员职业标准，为畜牧业高质量发展输送技术型人才。</w:t>
      </w:r>
    </w:p>
    <w:p w14:paraId="688CBDE4">
      <w:pPr>
        <w:pStyle w:val="3"/>
        <w:bidi w:val="0"/>
        <w:rPr>
          <w:rFonts w:hint="eastAsia"/>
          <w:lang w:val="en-US" w:eastAsia="zh-CN"/>
        </w:rPr>
      </w:pPr>
      <w:r>
        <w:rPr>
          <w:rFonts w:hint="eastAsia"/>
          <w:lang w:val="en-US" w:eastAsia="zh-CN"/>
        </w:rPr>
        <w:t>三、课程设计思路</w:t>
      </w:r>
    </w:p>
    <w:p w14:paraId="511D45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遵循“以学生为中心、以职业能力为本位”的原则，紧密对接高职畜牧兽医专业人才培养目标，以徐相亭主编的《动物遗传繁育》为核心载体，构建“理论筑基—实践强能—素养铸魂”的三维设计框架。</w:t>
      </w:r>
    </w:p>
    <w:p w14:paraId="4C034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依据畜牧兽医行业畜禽良种繁育、养殖场繁殖管理等岗位的核心需求，结合家畜繁殖员职业资格标准进行选取。重点围绕动物遗传基础、生殖生理、繁殖技术等核心内容展开，突出与畜禽良种选育、繁殖效率提升相关的理论与技术。同时，适度融入胚胎生物技术等行业新技术与职业标准，确保教学内容的实用性与前沿性。</w:t>
      </w:r>
    </w:p>
    <w:p w14:paraId="3FFCD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论教学以多媒体课件、案例导入、课堂讲授为主要形式，通过畜禽良种选育案例（如高产奶牛选育、优质肉鸡配套系培育等）引导学生理解抽象的遗传原理，强调理论联系实际。实践教学聚焦岗位核心技能，涵盖利用鸡的羽色羽速伴性遗传规律鉴别雏鸡雌雄、生殖器官观察、假阴道安装等六个核心实践项目，采用“基础操作—技能强化—综合应用”的梯度训练模式。校内通过实训课训练学生基本操作技能；校外通过组织参观规模化养殖场、良种繁育基地等，增强学生对知识应用场景的直观认识。</w:t>
      </w:r>
    </w:p>
    <w:p w14:paraId="170FA2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组织采用团队与模块化教学，按“遗传基础—生殖生理—繁殖技术—综合管理”知识模块组织教学，尝试专业教师协同授课，发挥各自专长。鼓励利用在线资源拓展学习，满足学生个性化需求。建立过程性考核与终结性考核相结合的评价体系，注重课堂参与、实验表现、技能操作等学习过程的评价，综合考查学生知识掌握与实际应用能力，并通过反馈持续优化教学。</w:t>
      </w:r>
    </w:p>
    <w:p w14:paraId="2A9F23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教学中自然融入科学精神、职业伦理与行业情怀。通过介绍我国科学家在畜禽育种领域的贡献及行业模范事迹，培养学生严谨求实的科学态度、爱岗敬业的工匠精神和服务“三农”的责任意识，实现价值塑造与知识传授的统一。</w:t>
      </w:r>
    </w:p>
    <w:p w14:paraId="1984B1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E742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1.了解动物遗传繁育的基本概念、发展历程及其在畜牧兽医领域的重要性，掌握本课程核心教材的知识体系框架。</w:t>
      </w:r>
    </w:p>
    <w:p w14:paraId="3B8E2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2.熟悉遗传物质基础（基因、DNA、染色体）的结构与功能，掌握孟德尔遗传定律、伴性遗传等核心遗传理论。</w:t>
      </w:r>
    </w:p>
    <w:p w14:paraId="1D019B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3.掌握畜禽生殖器官的结构与生理功能，熟悉生殖激素的种类、来源及生理作用机制。</w:t>
      </w:r>
    </w:p>
    <w:p w14:paraId="71DC8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4.掌握畜禽发情生理、受精过程、妊娠维持及分娩机理等生殖生理规律。</w:t>
      </w:r>
    </w:p>
    <w:p w14:paraId="5D49BA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5.熟悉选种选配的基本原则与方法，了解杂种优势利用的途径与技术要点。</w:t>
      </w:r>
    </w:p>
    <w:p w14:paraId="461359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6.掌握人工授精、精液处理、妊娠诊断等核心繁殖技术的原理及操作规范。</w:t>
      </w:r>
    </w:p>
    <w:p w14:paraId="791FAD1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58FF4E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1.能运用伴性遗传规律（如鸡羽色羽速遗传）准确鉴别雏鸡雌雄，解决生产中早期性别鉴定的实际问题。</w:t>
      </w:r>
    </w:p>
    <w:p w14:paraId="1BFF6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2.能规范识别并观察雌雄动物生殖器官结构，准确描述其形态特征与生理功能。</w:t>
      </w:r>
    </w:p>
    <w:p w14:paraId="58E7C2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3.能独立完成牛羊假阴道的安装与调试，掌握精液采集的基础准备技能。</w:t>
      </w:r>
    </w:p>
    <w:p w14:paraId="4F3228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4.能规范进行精液品质检查（活力、密度等指标评定），熟练配制常用精液稀释液并完成精液稀释操作。</w:t>
      </w:r>
    </w:p>
    <w:p w14:paraId="754F17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5.能运用临床检查、B超等常用方法进行畜禽妊娠诊断，并准确判断诊断结果。</w:t>
      </w:r>
    </w:p>
    <w:p w14:paraId="7EF042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6.能结合生产实际制定简单的畜禽选种选配方案，分析繁殖力低下的常见原因并提出初步解决措施。</w:t>
      </w:r>
    </w:p>
    <w:p w14:paraId="3BED62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7.具备查阅专业资料、获取繁殖新技术信息，并用于解决实际问题的持续学习能力。</w:t>
      </w:r>
    </w:p>
    <w:p w14:paraId="5C361B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96622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1.培养严谨求实、科学探索的精神，养成规范操作实验仪器、客观记录实验数据的职业习惯。</w:t>
      </w:r>
    </w:p>
    <w:p w14:paraId="2CEAAD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2.培养敬畏生命、关爱动物的职业操守，树立保障动物福利与畜禽繁殖健康的责任意识。</w:t>
      </w:r>
    </w:p>
    <w:p w14:paraId="24775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3.培养团队协作与沟通协调能力，能够在实训操作和项目任务中有效配合、高效完成工作。</w:t>
      </w:r>
    </w:p>
    <w:p w14:paraId="13C83C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4.培养良好的职业道德与安全意识，自觉遵守实验室安全准则与畜禽养殖操作规范。</w:t>
      </w:r>
    </w:p>
    <w:p w14:paraId="56751B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5.树立终身学习理念，具备适应畜牧业技术发展、不断更新知识结构的进取意识。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70A56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1.职业道德：引导学生树立“爱岗敬业、诚实守信”的畜牧兽医职业伦理，在精液品质检测、妊娠诊断等工作中坚守数据真实、结果可靠的职业底线，为畜禽繁殖健康履职尽责。</w:t>
      </w:r>
    </w:p>
    <w:p w14:paraId="03F055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2.工匠精神：在假阴道安装、精液稀释等精细操作中，培养学生追求卓越、精益求精的态度，锤炼扎实的专业技能。</w:t>
      </w:r>
    </w:p>
    <w:p w14:paraId="7EE23E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3.法治意识：结合生殖激素使用、良种选育等内容，使学生熟悉《畜牧法》等相关法律法规，自觉在专业活动中恪守法律红线。</w:t>
      </w:r>
    </w:p>
    <w:p w14:paraId="619BA9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4.社会责任：强化学生服务畜牧业高质量发展的社会责任感，理解遗传繁育技术在保障畜禽产品供给、推动种业振兴中的重要作用，激发投身行业的使命感。</w:t>
      </w:r>
    </w:p>
    <w:p w14:paraId="56C8D5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5.家国情怀：通过介绍我国在畜禽良种繁育领域的成就（如地方优良品种保护与利用），增强学生行业自信与文化认同，培养扎根三农、服务乡村振兴的担当。</w:t>
      </w:r>
    </w:p>
    <w:p w14:paraId="55286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6.创新意识：鼓励学生关注胚胎移植、基因编辑等繁殖新技术发展，培育批判性思维与探索精神，为行业技术创新奠定思想基础。</w:t>
      </w:r>
    </w:p>
    <w:p w14:paraId="2F68783C">
      <w:pPr>
        <w:pStyle w:val="3"/>
        <w:bidi w:val="0"/>
        <w:rPr>
          <w:rFonts w:hint="eastAsia"/>
          <w:lang w:val="en-US" w:eastAsia="zh-CN"/>
        </w:rPr>
      </w:pPr>
      <w:r>
        <w:rPr>
          <w:rFonts w:hint="eastAsia"/>
          <w:lang w:val="en-US" w:eastAsia="zh-CN"/>
        </w:rPr>
        <w:t>五、课程内容和要求</w:t>
      </w:r>
    </w:p>
    <w:tbl>
      <w:tblPr>
        <w:tblStyle w:val="28"/>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878"/>
        <w:gridCol w:w="1755"/>
        <w:gridCol w:w="1266"/>
        <w:gridCol w:w="2005"/>
        <w:gridCol w:w="1117"/>
      </w:tblGrid>
      <w:tr w14:paraId="7F22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596" w:type="dxa"/>
            <w:vAlign w:val="center"/>
          </w:tcPr>
          <w:p w14:paraId="674815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878" w:type="dxa"/>
            <w:vAlign w:val="center"/>
          </w:tcPr>
          <w:p w14:paraId="641E4C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755" w:type="dxa"/>
            <w:vAlign w:val="center"/>
          </w:tcPr>
          <w:p w14:paraId="761C47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266" w:type="dxa"/>
            <w:vAlign w:val="center"/>
          </w:tcPr>
          <w:p w14:paraId="3F8C03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2005" w:type="dxa"/>
            <w:vAlign w:val="center"/>
          </w:tcPr>
          <w:p w14:paraId="50EAF2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1117" w:type="dxa"/>
            <w:vAlign w:val="center"/>
          </w:tcPr>
          <w:p w14:paraId="37395C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1609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96" w:type="dxa"/>
            <w:vAlign w:val="center"/>
          </w:tcPr>
          <w:p w14:paraId="506B7913">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第一章 动物遗传基础</w:t>
            </w:r>
          </w:p>
          <w:p w14:paraId="7B5E8576">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5DD2DE62">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第一节遗传物质、遗传基本规律、第</w:t>
            </w:r>
            <w:r>
              <w:rPr>
                <w:rFonts w:hint="eastAsia" w:ascii="宋体" w:hAnsi="宋体" w:eastAsia="宋体" w:cs="宋体"/>
                <w:sz w:val="21"/>
                <w:szCs w:val="21"/>
                <w:lang w:val="en-US" w:eastAsia="zh-CN"/>
              </w:rPr>
              <w:t>二</w:t>
            </w:r>
            <w:r>
              <w:rPr>
                <w:rFonts w:hint="eastAsia" w:ascii="宋体" w:hAnsi="宋体" w:eastAsia="宋体" w:cs="宋体"/>
                <w:sz w:val="21"/>
                <w:szCs w:val="21"/>
              </w:rPr>
              <w:t>节遗传物质的改变、第</w:t>
            </w:r>
            <w:r>
              <w:rPr>
                <w:rFonts w:hint="eastAsia" w:ascii="宋体" w:hAnsi="宋体" w:eastAsia="宋体" w:cs="宋体"/>
                <w:sz w:val="21"/>
                <w:szCs w:val="21"/>
                <w:lang w:val="en-US" w:eastAsia="zh-CN"/>
              </w:rPr>
              <w:t>三</w:t>
            </w:r>
            <w:r>
              <w:rPr>
                <w:rFonts w:hint="eastAsia" w:ascii="宋体" w:hAnsi="宋体" w:eastAsia="宋体" w:cs="宋体"/>
                <w:sz w:val="21"/>
                <w:szCs w:val="21"/>
              </w:rPr>
              <w:t>节数量性状的遗传</w:t>
            </w:r>
          </w:p>
        </w:tc>
        <w:tc>
          <w:tcPr>
            <w:tcW w:w="1755" w:type="dxa"/>
            <w:vAlign w:val="center"/>
          </w:tcPr>
          <w:p w14:paraId="4CE48CEC">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染色体、DNA、基因的结构与功能；2. 孟德尔定律、伴性遗传的实质与应用；3. 基因突变、染色体变异的类型与遗传效应；4. 数量性状的特征及遗传参数（遗传力、重复力等）</w:t>
            </w:r>
          </w:p>
        </w:tc>
        <w:tc>
          <w:tcPr>
            <w:tcW w:w="1266" w:type="dxa"/>
            <w:vAlign w:val="center"/>
          </w:tcPr>
          <w:p w14:paraId="46DFE39F">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能运用遗传规律解释畜禽性状遗传现象；2. 能区分质量性状与数量性状的遗传差异</w:t>
            </w:r>
          </w:p>
        </w:tc>
        <w:tc>
          <w:tcPr>
            <w:tcW w:w="2005" w:type="dxa"/>
            <w:vAlign w:val="center"/>
          </w:tcPr>
          <w:p w14:paraId="08FA89D8">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1. </w:t>
            </w:r>
            <w:r>
              <w:rPr>
                <w:rFonts w:hint="eastAsia" w:ascii="宋体" w:hAnsi="宋体" w:eastAsia="宋体" w:cs="宋体"/>
                <w:sz w:val="21"/>
                <w:szCs w:val="21"/>
                <w:lang w:val="en-US" w:eastAsia="zh-CN"/>
              </w:rPr>
              <w:t>介绍人类基因组计划中国参与的1%的项目。 激发学生的爱国之情、强国之志，树立大学生对中国特色社会主义的理论自信、道路自信、制度自信和文化自信，增强学生的民族自豪感，为中华民族伟大复兴的中国梦贡献力量，为参与我国社会主义现代化建设、构建人类命运共同体提供智慧。</w:t>
            </w:r>
          </w:p>
        </w:tc>
        <w:tc>
          <w:tcPr>
            <w:tcW w:w="1117" w:type="dxa"/>
            <w:vAlign w:val="center"/>
          </w:tcPr>
          <w:p w14:paraId="28D3BC19">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6</w:t>
            </w:r>
          </w:p>
        </w:tc>
      </w:tr>
      <w:tr w14:paraId="2AFA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96" w:type="dxa"/>
            <w:vAlign w:val="center"/>
          </w:tcPr>
          <w:p w14:paraId="3AACACF1">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第二章 杂交与改良</w:t>
            </w:r>
          </w:p>
          <w:p w14:paraId="5C4F6E61">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3730DE3B">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第一节选种、选配、本品种选育第</w:t>
            </w:r>
            <w:r>
              <w:rPr>
                <w:rFonts w:hint="eastAsia" w:ascii="宋体" w:hAnsi="宋体" w:eastAsia="宋体" w:cs="宋体"/>
                <w:sz w:val="21"/>
                <w:szCs w:val="21"/>
                <w:lang w:val="en-US" w:eastAsia="zh-CN"/>
              </w:rPr>
              <w:t>二</w:t>
            </w:r>
            <w:r>
              <w:rPr>
                <w:rFonts w:hint="eastAsia" w:ascii="宋体" w:hAnsi="宋体" w:eastAsia="宋体" w:cs="宋体"/>
                <w:sz w:val="21"/>
                <w:szCs w:val="21"/>
              </w:rPr>
              <w:t>节品系繁育、杂交及杂种优势利用</w:t>
            </w:r>
          </w:p>
        </w:tc>
        <w:tc>
          <w:tcPr>
            <w:tcW w:w="1755" w:type="dxa"/>
            <w:vAlign w:val="center"/>
          </w:tcPr>
          <w:p w14:paraId="580DF71F">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选种的指标与常用方法（个体选择、家系选择等）；2. 同质选配与异质选配的适用场景；3. 本品种选育与品系繁育的核心流程；4. 杂交模式与杂种优势利用的关键技术</w:t>
            </w:r>
          </w:p>
        </w:tc>
        <w:tc>
          <w:tcPr>
            <w:tcW w:w="1266" w:type="dxa"/>
            <w:vAlign w:val="center"/>
          </w:tcPr>
          <w:p w14:paraId="2F18817A">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能根据畜禽经济性状选择合适的选种方法；2. 能针对养殖需求设计简单的杂交改良方案</w:t>
            </w:r>
          </w:p>
        </w:tc>
        <w:tc>
          <w:tcPr>
            <w:tcW w:w="2005" w:type="dxa"/>
            <w:vAlign w:val="center"/>
          </w:tcPr>
          <w:p w14:paraId="42949145">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结合地方良种改良成就，培养家国情怀；强调选种数据真实性，渗透诚信品质</w:t>
            </w:r>
            <w:r>
              <w:rPr>
                <w:rFonts w:hint="eastAsia" w:ascii="宋体" w:hAnsi="宋体" w:eastAsia="宋体" w:cs="宋体"/>
                <w:sz w:val="21"/>
                <w:szCs w:val="21"/>
                <w:lang w:eastAsia="zh-CN"/>
              </w:rPr>
              <w:t>。</w:t>
            </w:r>
          </w:p>
          <w:p w14:paraId="3FBF07C7">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结合提高杂交的优势值，培养学生的“大国三农”情怀，引导学生以强农兴农为己任，“懂农业、爱农村、爱农民”，树立把论文写在祖国大地上的意识和信念，增强学生服务农业农村现代化、服务乡村全面振兴的使命感和责任感，培养知农爱农创新人才。</w:t>
            </w:r>
          </w:p>
        </w:tc>
        <w:tc>
          <w:tcPr>
            <w:tcW w:w="1117" w:type="dxa"/>
            <w:vAlign w:val="center"/>
          </w:tcPr>
          <w:p w14:paraId="4FCFA8B6">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BA1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96" w:type="dxa"/>
            <w:vAlign w:val="center"/>
          </w:tcPr>
          <w:p w14:paraId="3F92A729">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第三章 生殖激素及其应用</w:t>
            </w:r>
          </w:p>
          <w:p w14:paraId="0C137A8E">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00789244">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第一节生殖激素概述、第</w:t>
            </w:r>
            <w:r>
              <w:rPr>
                <w:rFonts w:hint="eastAsia" w:ascii="宋体" w:hAnsi="宋体" w:eastAsia="宋体" w:cs="宋体"/>
                <w:sz w:val="21"/>
                <w:szCs w:val="21"/>
                <w:lang w:val="en-US" w:eastAsia="zh-CN"/>
              </w:rPr>
              <w:t>二</w:t>
            </w:r>
            <w:r>
              <w:rPr>
                <w:rFonts w:hint="eastAsia" w:ascii="宋体" w:hAnsi="宋体" w:eastAsia="宋体" w:cs="宋体"/>
                <w:sz w:val="21"/>
                <w:szCs w:val="21"/>
              </w:rPr>
              <w:t>节生殖激素的功能与应用</w:t>
            </w:r>
          </w:p>
        </w:tc>
        <w:tc>
          <w:tcPr>
            <w:tcW w:w="1755" w:type="dxa"/>
            <w:vAlign w:val="center"/>
          </w:tcPr>
          <w:p w14:paraId="2D3E96AC">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生殖激素的分类、合成部位与分泌调节；2. 促性腺激素、性激素等的生理功能；3. 生殖激素在发情控制、超数排卵中的应用规范；4. 激素使用的安全剂量与残留控制</w:t>
            </w:r>
          </w:p>
        </w:tc>
        <w:tc>
          <w:tcPr>
            <w:tcW w:w="1266" w:type="dxa"/>
            <w:vAlign w:val="center"/>
          </w:tcPr>
          <w:p w14:paraId="60F7C3D3">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能识别常用生殖激素的种类与作用；2. 能简述生殖激素在繁殖调控中的应用场景</w:t>
            </w:r>
          </w:p>
        </w:tc>
        <w:tc>
          <w:tcPr>
            <w:tcW w:w="2005" w:type="dxa"/>
            <w:vAlign w:val="center"/>
          </w:tcPr>
          <w:p w14:paraId="55848A23">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结合如何合理使用生殖激素，以及生产生活中激素滥用的例子和带来的后果，培养遵纪守法、爱岗敬业、无私奉献、诚实守信、公道办事、开拓创新的职业品格和行为习惯。</w:t>
            </w:r>
          </w:p>
        </w:tc>
        <w:tc>
          <w:tcPr>
            <w:tcW w:w="1117" w:type="dxa"/>
            <w:vAlign w:val="center"/>
          </w:tcPr>
          <w:p w14:paraId="5C7F2B4B">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51E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96" w:type="dxa"/>
            <w:vAlign w:val="center"/>
          </w:tcPr>
          <w:p w14:paraId="4180E639">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 xml:space="preserve">第四章 </w:t>
            </w:r>
            <w:r>
              <w:rPr>
                <w:rFonts w:hint="eastAsia" w:ascii="宋体" w:hAnsi="宋体" w:eastAsia="宋体" w:cs="宋体"/>
                <w:sz w:val="21"/>
                <w:szCs w:val="21"/>
                <w:lang w:val="en-US" w:eastAsia="zh-CN"/>
              </w:rPr>
              <w:t>发</w:t>
            </w:r>
            <w:r>
              <w:rPr>
                <w:rFonts w:hint="eastAsia" w:ascii="宋体" w:hAnsi="宋体" w:eastAsia="宋体" w:cs="宋体"/>
                <w:sz w:val="21"/>
                <w:szCs w:val="21"/>
              </w:rPr>
              <w:t>情鉴定技术</w:t>
            </w:r>
          </w:p>
          <w:p w14:paraId="27E060D6">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3606EB4B">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第一节雌性动物生殖器官、性功能发育、第</w:t>
            </w:r>
            <w:r>
              <w:rPr>
                <w:rFonts w:hint="eastAsia" w:ascii="宋体" w:hAnsi="宋体" w:eastAsia="宋体" w:cs="宋体"/>
                <w:sz w:val="21"/>
                <w:szCs w:val="21"/>
                <w:lang w:val="en-US" w:eastAsia="zh-CN"/>
              </w:rPr>
              <w:t>二</w:t>
            </w:r>
            <w:r>
              <w:rPr>
                <w:rFonts w:hint="eastAsia" w:ascii="宋体" w:hAnsi="宋体" w:eastAsia="宋体" w:cs="宋体"/>
                <w:sz w:val="21"/>
                <w:szCs w:val="21"/>
              </w:rPr>
              <w:t>节发情机制、发情鉴定与控制技术</w:t>
            </w:r>
          </w:p>
        </w:tc>
        <w:tc>
          <w:tcPr>
            <w:tcW w:w="1755" w:type="dxa"/>
            <w:vAlign w:val="center"/>
          </w:tcPr>
          <w:p w14:paraId="569ACD31">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雌性畜禽生殖器官的解剖结构与生理功能；2. 性功能发育的阶段特征与调控因素；3. 发情机制与发情周期的激素调节；4. 外部观察法、直肠检查法等发情鉴定技术及发情控制措施</w:t>
            </w:r>
          </w:p>
        </w:tc>
        <w:tc>
          <w:tcPr>
            <w:tcW w:w="1266" w:type="dxa"/>
            <w:vAlign w:val="center"/>
          </w:tcPr>
          <w:p w14:paraId="4F5D87BF">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能准确描述雌性生殖器官的关键结构；2. 能运用基础方法初步判断畜禽发情状态</w:t>
            </w:r>
          </w:p>
        </w:tc>
        <w:tc>
          <w:tcPr>
            <w:tcW w:w="2005" w:type="dxa"/>
            <w:vAlign w:val="center"/>
          </w:tcPr>
          <w:p w14:paraId="25B3D561">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尊重动物生理规律，培养生命敬畏意识；强调发情鉴定的细致性，锤炼严谨作风</w:t>
            </w:r>
            <w:r>
              <w:rPr>
                <w:rFonts w:hint="eastAsia" w:ascii="宋体" w:hAnsi="宋体" w:eastAsia="宋体" w:cs="宋体"/>
                <w:sz w:val="21"/>
                <w:szCs w:val="21"/>
                <w:lang w:eastAsia="zh-CN"/>
              </w:rPr>
              <w:t>。</w:t>
            </w:r>
          </w:p>
        </w:tc>
        <w:tc>
          <w:tcPr>
            <w:tcW w:w="1117" w:type="dxa"/>
            <w:vAlign w:val="center"/>
          </w:tcPr>
          <w:p w14:paraId="088227EA">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4</w:t>
            </w:r>
          </w:p>
        </w:tc>
      </w:tr>
      <w:tr w14:paraId="16F8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96" w:type="dxa"/>
            <w:vAlign w:val="center"/>
          </w:tcPr>
          <w:p w14:paraId="3D1F4F91">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第五章 人工授精技术</w:t>
            </w:r>
          </w:p>
          <w:p w14:paraId="0F99000C">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3997701F">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第一节配种方法、采精、精液品质检查、第</w:t>
            </w:r>
            <w:r>
              <w:rPr>
                <w:rFonts w:hint="eastAsia" w:ascii="宋体" w:hAnsi="宋体" w:eastAsia="宋体" w:cs="宋体"/>
                <w:sz w:val="21"/>
                <w:szCs w:val="21"/>
                <w:lang w:val="en-US" w:eastAsia="zh-CN"/>
              </w:rPr>
              <w:t>二</w:t>
            </w:r>
            <w:r>
              <w:rPr>
                <w:rFonts w:hint="eastAsia" w:ascii="宋体" w:hAnsi="宋体" w:eastAsia="宋体" w:cs="宋体"/>
                <w:sz w:val="21"/>
                <w:szCs w:val="21"/>
              </w:rPr>
              <w:t>节精液稀释、精液保存、输精</w:t>
            </w:r>
          </w:p>
        </w:tc>
        <w:tc>
          <w:tcPr>
            <w:tcW w:w="1755" w:type="dxa"/>
            <w:vAlign w:val="center"/>
          </w:tcPr>
          <w:p w14:paraId="2D72F549">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自然交配与人工授精的优缺点对比；2. 采精的基本方法与注意事项；3. 精液活力、密度等品质指标的评定标准；4. 稀释液的配方设计、精液保存条件及输精操作规范</w:t>
            </w:r>
          </w:p>
        </w:tc>
        <w:tc>
          <w:tcPr>
            <w:tcW w:w="1266" w:type="dxa"/>
            <w:vAlign w:val="center"/>
          </w:tcPr>
          <w:p w14:paraId="51A5A5B3">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能简述人工授精的完整流程；2. 能识别精液品质异常的常见表现</w:t>
            </w:r>
          </w:p>
        </w:tc>
        <w:tc>
          <w:tcPr>
            <w:tcW w:w="2005" w:type="dxa"/>
            <w:vAlign w:val="center"/>
          </w:tcPr>
          <w:p w14:paraId="5F973BF9">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结合人工授精技术推广成效，增强行业使命感；强调操作规范，培养工匠精神</w:t>
            </w:r>
            <w:r>
              <w:rPr>
                <w:rFonts w:hint="eastAsia" w:ascii="宋体" w:hAnsi="宋体" w:eastAsia="宋体" w:cs="宋体"/>
                <w:sz w:val="21"/>
                <w:szCs w:val="21"/>
                <w:lang w:eastAsia="zh-CN"/>
              </w:rPr>
              <w:t>。</w:t>
            </w:r>
          </w:p>
        </w:tc>
        <w:tc>
          <w:tcPr>
            <w:tcW w:w="1117" w:type="dxa"/>
            <w:vAlign w:val="center"/>
          </w:tcPr>
          <w:p w14:paraId="295149A7">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D5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395D6BDE">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第六章 受精、妊娠与分娩</w:t>
            </w:r>
          </w:p>
          <w:p w14:paraId="48F5BAEA">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60C0F657">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第一节受精、第</w:t>
            </w:r>
            <w:r>
              <w:rPr>
                <w:rFonts w:hint="eastAsia" w:ascii="宋体" w:hAnsi="宋体" w:eastAsia="宋体" w:cs="宋体"/>
                <w:sz w:val="21"/>
                <w:szCs w:val="21"/>
                <w:lang w:val="en-US" w:eastAsia="zh-CN"/>
              </w:rPr>
              <w:t>二</w:t>
            </w:r>
            <w:r>
              <w:rPr>
                <w:rFonts w:hint="eastAsia" w:ascii="宋体" w:hAnsi="宋体" w:eastAsia="宋体" w:cs="宋体"/>
                <w:sz w:val="21"/>
                <w:szCs w:val="21"/>
              </w:rPr>
              <w:t>节妊娠、分娩</w:t>
            </w:r>
          </w:p>
        </w:tc>
        <w:tc>
          <w:tcPr>
            <w:tcW w:w="1755" w:type="dxa"/>
            <w:vAlign w:val="center"/>
          </w:tcPr>
          <w:p w14:paraId="21827ABD">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精子获能与受精过程的生理机制；2. 妊娠建立与维持的激素调节；3. 胎儿发育的关键阶段与胎盘功能；4. 分娩的发动机制与产程管理要点</w:t>
            </w:r>
          </w:p>
        </w:tc>
        <w:tc>
          <w:tcPr>
            <w:tcW w:w="1266" w:type="dxa"/>
            <w:vAlign w:val="center"/>
          </w:tcPr>
          <w:p w14:paraId="2D3D3A7A">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能解释受精与妊娠的核心生理过程；2. 能识别分娩的先兆症状与正常产程特征</w:t>
            </w:r>
          </w:p>
        </w:tc>
        <w:tc>
          <w:tcPr>
            <w:tcW w:w="2005" w:type="dxa"/>
            <w:vAlign w:val="center"/>
          </w:tcPr>
          <w:p w14:paraId="48DFCFDE">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1. 敬畏生命孕育过程，强化责任担当；结合产程管理案例，培养严谨的职业态度</w:t>
            </w:r>
            <w:r>
              <w:rPr>
                <w:rFonts w:hint="eastAsia" w:ascii="宋体" w:hAnsi="宋体" w:eastAsia="宋体" w:cs="宋体"/>
                <w:sz w:val="21"/>
                <w:szCs w:val="21"/>
                <w:lang w:eastAsia="zh-CN"/>
              </w:rPr>
              <w:t>。</w:t>
            </w:r>
          </w:p>
        </w:tc>
        <w:tc>
          <w:tcPr>
            <w:tcW w:w="1117" w:type="dxa"/>
            <w:vAlign w:val="center"/>
          </w:tcPr>
          <w:p w14:paraId="4125CC16">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5B10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6D38442D">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第七章 宠物繁育技术</w:t>
            </w:r>
          </w:p>
          <w:p w14:paraId="680F5F3A">
            <w:pPr>
              <w:spacing w:before="120" w:after="120" w:line="288" w:lineRule="auto"/>
              <w:ind w:left="0" w:leftChars="0"/>
              <w:jc w:val="center"/>
              <w:rPr>
                <w:rFonts w:hint="eastAsia" w:ascii="宋体" w:hAnsi="宋体" w:eastAsia="宋体" w:cs="宋体"/>
                <w:sz w:val="21"/>
                <w:szCs w:val="21"/>
              </w:rPr>
            </w:pPr>
          </w:p>
        </w:tc>
        <w:tc>
          <w:tcPr>
            <w:tcW w:w="1878" w:type="dxa"/>
            <w:vAlign w:val="center"/>
          </w:tcPr>
          <w:p w14:paraId="49144405">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第一节犬猫的繁育</w:t>
            </w:r>
          </w:p>
        </w:tc>
        <w:tc>
          <w:tcPr>
            <w:tcW w:w="1755" w:type="dxa"/>
            <w:vAlign w:val="center"/>
          </w:tcPr>
          <w:p w14:paraId="5A19E865">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犬猫生殖生理的特殊性；2. 犬猫的发情鉴定与配种时机选择；3. 犬猫妊娠诊断方法；4. 犬猫分娩护理与新生仔畜养护要点</w:t>
            </w:r>
          </w:p>
        </w:tc>
        <w:tc>
          <w:tcPr>
            <w:tcW w:w="1266" w:type="dxa"/>
            <w:vAlign w:val="center"/>
          </w:tcPr>
          <w:p w14:paraId="4F141863">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能区分犬猫与家畜生殖生理的差异；2. 能简述犬猫繁育的关键技术环节</w:t>
            </w:r>
          </w:p>
        </w:tc>
        <w:tc>
          <w:tcPr>
            <w:tcW w:w="2005" w:type="dxa"/>
            <w:vAlign w:val="center"/>
          </w:tcPr>
          <w:p w14:paraId="0AB56824">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培养关爱宠物的职业情怀；强调宠物繁育的伦理规范，渗透社会责任</w:t>
            </w:r>
            <w:r>
              <w:rPr>
                <w:rFonts w:hint="eastAsia" w:ascii="宋体" w:hAnsi="宋体" w:eastAsia="宋体" w:cs="宋体"/>
                <w:sz w:val="21"/>
                <w:szCs w:val="21"/>
                <w:lang w:eastAsia="zh-CN"/>
              </w:rPr>
              <w:t>。</w:t>
            </w:r>
          </w:p>
        </w:tc>
        <w:tc>
          <w:tcPr>
            <w:tcW w:w="1117" w:type="dxa"/>
            <w:vAlign w:val="center"/>
          </w:tcPr>
          <w:p w14:paraId="19B243EA">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2</w:t>
            </w:r>
          </w:p>
        </w:tc>
      </w:tr>
      <w:tr w14:paraId="2259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45C1C38C">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第八章 动物胚胎生物技术</w:t>
            </w:r>
          </w:p>
          <w:p w14:paraId="4069D673">
            <w:pPr>
              <w:spacing w:before="120" w:after="120" w:line="288" w:lineRule="auto"/>
              <w:ind w:left="0" w:leftChars="0"/>
              <w:jc w:val="center"/>
              <w:rPr>
                <w:rFonts w:hint="eastAsia" w:ascii="宋体" w:hAnsi="宋体" w:eastAsia="宋体" w:cs="宋体"/>
                <w:sz w:val="21"/>
                <w:szCs w:val="21"/>
              </w:rPr>
            </w:pPr>
          </w:p>
        </w:tc>
        <w:tc>
          <w:tcPr>
            <w:tcW w:w="1878" w:type="dxa"/>
            <w:vAlign w:val="center"/>
          </w:tcPr>
          <w:p w14:paraId="691429CA">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第一节胚胎移植技术、胚胎生物工程</w:t>
            </w:r>
          </w:p>
        </w:tc>
        <w:tc>
          <w:tcPr>
            <w:tcW w:w="1755" w:type="dxa"/>
            <w:vAlign w:val="center"/>
          </w:tcPr>
          <w:p w14:paraId="4AB36CA6">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胚胎移植的原理、流程与关键技术；2. 胚胎冷冻保存与解冻复苏技术；3. 体外受精、胚胎分割等生物工程技术概述；4. 胚胎生物技术在良种繁育中的应用前景</w:t>
            </w:r>
          </w:p>
        </w:tc>
        <w:tc>
          <w:tcPr>
            <w:tcW w:w="1266" w:type="dxa"/>
            <w:vAlign w:val="center"/>
          </w:tcPr>
          <w:p w14:paraId="231D2B8D">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能描述胚胎移植的基本操作步骤；2. 能识别胚胎生物技术的应用价值</w:t>
            </w:r>
          </w:p>
        </w:tc>
        <w:tc>
          <w:tcPr>
            <w:tcW w:w="2005" w:type="dxa"/>
            <w:vAlign w:val="center"/>
          </w:tcPr>
          <w:p w14:paraId="3AF4B948">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结合胚胎移植技术在奶牛、肉牛、肉羊等家畜中的应用所带来的畜牧生产效率的大幅度提升，引导学生以强农兴农为己任，增强学生服务畜牧业现代化、服务乡村全面振兴的使命感和责任感。</w:t>
            </w:r>
          </w:p>
        </w:tc>
        <w:tc>
          <w:tcPr>
            <w:tcW w:w="1117" w:type="dxa"/>
            <w:vAlign w:val="center"/>
          </w:tcPr>
          <w:p w14:paraId="52F32866">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2</w:t>
            </w:r>
          </w:p>
        </w:tc>
      </w:tr>
      <w:tr w14:paraId="1365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2566D0E2">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第九章 生殖保健技术</w:t>
            </w:r>
          </w:p>
          <w:p w14:paraId="43528D74">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4B79DA9E">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第一节动物繁殖力、动物繁殖障碍、提高繁殖力的措施</w:t>
            </w:r>
          </w:p>
        </w:tc>
        <w:tc>
          <w:tcPr>
            <w:tcW w:w="1755" w:type="dxa"/>
            <w:vAlign w:val="center"/>
          </w:tcPr>
          <w:p w14:paraId="2A667994">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繁殖力的评定指标（受胎率、产仔率等）；2. 繁殖障碍的类型（雌性、雄性）与常见病因；3. 提高繁殖力的技术措施与管理方法；4. 繁殖保健的日常管理规范</w:t>
            </w:r>
          </w:p>
        </w:tc>
        <w:tc>
          <w:tcPr>
            <w:tcW w:w="1266" w:type="dxa"/>
            <w:vAlign w:val="center"/>
          </w:tcPr>
          <w:p w14:paraId="6DC22EDA">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能计算基本的繁殖力指标；2. 能初步分析繁殖障碍的可能原因</w:t>
            </w:r>
          </w:p>
        </w:tc>
        <w:tc>
          <w:tcPr>
            <w:tcW w:w="2005" w:type="dxa"/>
            <w:vAlign w:val="center"/>
          </w:tcPr>
          <w:p w14:paraId="3CCF308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以当前农村母牛群繁殖率不高的现状及原因，引导学生充分利用自己的学识和智慧，深入农村一线，提高农村基层养殖水平。此外，鼓励学生积极创业，勇于与挫折抗衡，坚信成功就在眼前。</w:t>
            </w:r>
          </w:p>
        </w:tc>
        <w:tc>
          <w:tcPr>
            <w:tcW w:w="1117" w:type="dxa"/>
            <w:vAlign w:val="center"/>
          </w:tcPr>
          <w:p w14:paraId="474CB327">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A9D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3C3759FB">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实训一 雏鸡雌雄鉴别</w:t>
            </w:r>
          </w:p>
          <w:p w14:paraId="47B852F9">
            <w:pPr>
              <w:spacing w:before="120" w:after="120" w:line="288" w:lineRule="auto"/>
              <w:ind w:left="0" w:leftChars="0"/>
              <w:jc w:val="center"/>
              <w:rPr>
                <w:rFonts w:hint="eastAsia" w:ascii="宋体" w:hAnsi="宋体" w:eastAsia="宋体" w:cs="宋体"/>
                <w:sz w:val="21"/>
                <w:szCs w:val="21"/>
                <w:lang w:val="en-US"/>
              </w:rPr>
            </w:pPr>
          </w:p>
        </w:tc>
        <w:tc>
          <w:tcPr>
            <w:tcW w:w="1878" w:type="dxa"/>
            <w:vAlign w:val="center"/>
          </w:tcPr>
          <w:p w14:paraId="58C2A748">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利用鸡羽色、羽速伴性遗传规律鉴别雏鸡雌雄</w:t>
            </w:r>
          </w:p>
        </w:tc>
        <w:tc>
          <w:tcPr>
            <w:tcW w:w="1755" w:type="dxa"/>
            <w:vAlign w:val="center"/>
          </w:tcPr>
          <w:p w14:paraId="3D0D139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鸡羽色（芦花/非芦花）、羽速（快羽/慢羽）的伴性遗传规律；2. 雏鸡羽毛形态的观察要点；3. 鉴别结果的记录与准确率统计方法</w:t>
            </w:r>
          </w:p>
        </w:tc>
        <w:tc>
          <w:tcPr>
            <w:tcW w:w="1266" w:type="dxa"/>
            <w:vAlign w:val="center"/>
          </w:tcPr>
          <w:p w14:paraId="6D227E5D">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能快速区分雏鸡羽色、羽速特征；2. 能依据遗传规律准确判断性别，准确率≥90%</w:t>
            </w:r>
          </w:p>
        </w:tc>
        <w:tc>
          <w:tcPr>
            <w:tcW w:w="2005" w:type="dxa"/>
            <w:vAlign w:val="center"/>
          </w:tcPr>
          <w:p w14:paraId="64552397">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规范操作避免雏鸡损伤，培养动物福利意识；2. 细致观察记录，锤炼严谨作风</w:t>
            </w:r>
            <w:r>
              <w:rPr>
                <w:rFonts w:hint="eastAsia" w:ascii="宋体" w:hAnsi="宋体" w:eastAsia="宋体" w:cs="宋体"/>
                <w:sz w:val="21"/>
                <w:szCs w:val="21"/>
                <w:lang w:eastAsia="zh-CN"/>
              </w:rPr>
              <w:t>。</w:t>
            </w:r>
          </w:p>
        </w:tc>
        <w:tc>
          <w:tcPr>
            <w:tcW w:w="1117" w:type="dxa"/>
            <w:vAlign w:val="center"/>
          </w:tcPr>
          <w:p w14:paraId="78F8E763">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4</w:t>
            </w:r>
          </w:p>
        </w:tc>
      </w:tr>
      <w:tr w14:paraId="39E5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243144F4">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实训二 雌雄动物生殖器官观察</w:t>
            </w:r>
          </w:p>
          <w:p w14:paraId="4B67F02C">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155C7536">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雌雄动物生殖器官观察</w:t>
            </w:r>
          </w:p>
        </w:tc>
        <w:tc>
          <w:tcPr>
            <w:tcW w:w="1755" w:type="dxa"/>
            <w:vAlign w:val="center"/>
          </w:tcPr>
          <w:p w14:paraId="4D91E16E">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牛、羊、猪雌雄生殖器官的解剖结构；2. 卵巢、睾丸、子宫等关键部位的形态特征；3. 生殖器官结构与功能的对应关系</w:t>
            </w:r>
          </w:p>
        </w:tc>
        <w:tc>
          <w:tcPr>
            <w:tcW w:w="1266" w:type="dxa"/>
            <w:vAlign w:val="center"/>
          </w:tcPr>
          <w:p w14:paraId="475DDDC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能准确识别雌雄畜禽生殖器官的主要结构；2. 能标注生殖器官标本的关键部位</w:t>
            </w:r>
          </w:p>
        </w:tc>
        <w:tc>
          <w:tcPr>
            <w:tcW w:w="2005" w:type="dxa"/>
            <w:vAlign w:val="center"/>
          </w:tcPr>
          <w:p w14:paraId="6B5A5F9D">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尊重生物标本，培养科学素养；2. 认真观察对比，渗透细致严谨精神</w:t>
            </w:r>
            <w:r>
              <w:rPr>
                <w:rFonts w:hint="eastAsia" w:ascii="宋体" w:hAnsi="宋体" w:eastAsia="宋体" w:cs="宋体"/>
                <w:sz w:val="21"/>
                <w:szCs w:val="21"/>
                <w:lang w:eastAsia="zh-CN"/>
              </w:rPr>
              <w:t>。</w:t>
            </w:r>
          </w:p>
        </w:tc>
        <w:tc>
          <w:tcPr>
            <w:tcW w:w="1117" w:type="dxa"/>
            <w:vAlign w:val="center"/>
          </w:tcPr>
          <w:p w14:paraId="72B6414A">
            <w:pPr>
              <w:spacing w:before="120" w:after="120" w:line="288"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3D08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26067CC3">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实训三 牛羊假阴道的安装</w:t>
            </w:r>
          </w:p>
          <w:p w14:paraId="6BC0C89D">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56E314E3">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牛羊假阴道的安装</w:t>
            </w:r>
          </w:p>
        </w:tc>
        <w:tc>
          <w:tcPr>
            <w:tcW w:w="1755" w:type="dxa"/>
            <w:vAlign w:val="center"/>
          </w:tcPr>
          <w:p w14:paraId="70E9CBB0">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假阴道外壳、内胎、集精杯等部件的功能；2. 假阴道安装的流程与消毒规范；3. 温度（38-40℃）、压力的调节技巧</w:t>
            </w:r>
          </w:p>
        </w:tc>
        <w:tc>
          <w:tcPr>
            <w:tcW w:w="1266" w:type="dxa"/>
            <w:vAlign w:val="center"/>
          </w:tcPr>
          <w:p w14:paraId="014DD2E2">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能独立完成假阴道的组装与调试；2. 能将假阴道参数调节至适宜范围</w:t>
            </w:r>
          </w:p>
        </w:tc>
        <w:tc>
          <w:tcPr>
            <w:tcW w:w="2005" w:type="dxa"/>
            <w:vAlign w:val="center"/>
          </w:tcPr>
          <w:p w14:paraId="3172A771">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规范操作保护设备，培养节约意识；2. 注重细节把控，锤炼工匠精神</w:t>
            </w:r>
            <w:r>
              <w:rPr>
                <w:rFonts w:hint="eastAsia" w:ascii="宋体" w:hAnsi="宋体" w:eastAsia="宋体" w:cs="宋体"/>
                <w:sz w:val="21"/>
                <w:szCs w:val="21"/>
                <w:lang w:eastAsia="zh-CN"/>
              </w:rPr>
              <w:t>。</w:t>
            </w:r>
          </w:p>
        </w:tc>
        <w:tc>
          <w:tcPr>
            <w:tcW w:w="1117" w:type="dxa"/>
            <w:vAlign w:val="center"/>
          </w:tcPr>
          <w:p w14:paraId="20C40D40">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2</w:t>
            </w:r>
          </w:p>
        </w:tc>
      </w:tr>
      <w:tr w14:paraId="2C7B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7CCBADAC">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实训四 精液品质检查</w:t>
            </w:r>
          </w:p>
          <w:p w14:paraId="409FD093">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3FE3EC1E">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精液品质检查</w:t>
            </w:r>
          </w:p>
        </w:tc>
        <w:tc>
          <w:tcPr>
            <w:tcW w:w="1755" w:type="dxa"/>
            <w:vAlign w:val="center"/>
          </w:tcPr>
          <w:p w14:paraId="405F6D3A">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精液外观、气味等感官指标评定；2. 精子活力等级划分标准；3. 精子密度的估测方法；4. 显微镜的规范使用与维护</w:t>
            </w:r>
          </w:p>
        </w:tc>
        <w:tc>
          <w:tcPr>
            <w:tcW w:w="1266" w:type="dxa"/>
            <w:vAlign w:val="center"/>
          </w:tcPr>
          <w:p w14:paraId="4C6163DB">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能规范操作显微镜观察精子；2. 能准确评定精子活力与密度等级</w:t>
            </w:r>
          </w:p>
        </w:tc>
        <w:tc>
          <w:tcPr>
            <w:tcW w:w="2005" w:type="dxa"/>
            <w:vAlign w:val="center"/>
          </w:tcPr>
          <w:p w14:paraId="0C349F60">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如实记录检测数据，培养诚信品质；2. 分析检测误差，培养科学思维</w:t>
            </w:r>
            <w:r>
              <w:rPr>
                <w:rFonts w:hint="eastAsia" w:ascii="宋体" w:hAnsi="宋体" w:eastAsia="宋体" w:cs="宋体"/>
                <w:sz w:val="21"/>
                <w:szCs w:val="21"/>
                <w:lang w:eastAsia="zh-CN"/>
              </w:rPr>
              <w:t>。</w:t>
            </w:r>
          </w:p>
        </w:tc>
        <w:tc>
          <w:tcPr>
            <w:tcW w:w="1117" w:type="dxa"/>
            <w:vAlign w:val="center"/>
          </w:tcPr>
          <w:p w14:paraId="749F8868">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2</w:t>
            </w:r>
          </w:p>
        </w:tc>
      </w:tr>
      <w:tr w14:paraId="493E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1BBBEEA8">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实训五 精液稀释</w:t>
            </w:r>
          </w:p>
          <w:p w14:paraId="5D9B73F3">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1268E6FA">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常用稀释液的配置及精液的稀释</w:t>
            </w:r>
          </w:p>
        </w:tc>
        <w:tc>
          <w:tcPr>
            <w:tcW w:w="1755" w:type="dxa"/>
            <w:vAlign w:val="center"/>
          </w:tcPr>
          <w:p w14:paraId="05064A5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葡萄糖-柠檬酸钠-卵黄稀释液的配方；2. 试剂称量与溶解的操作规范；3. 精液稀释比例的计算方法；4. 稀释后精液的保存条件</w:t>
            </w:r>
          </w:p>
        </w:tc>
        <w:tc>
          <w:tcPr>
            <w:tcW w:w="1266" w:type="dxa"/>
            <w:vAlign w:val="center"/>
          </w:tcPr>
          <w:p w14:paraId="234E3914">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能准确配制常用精液稀释液；2. 能根据精液品质确定稀释比例并完成操作</w:t>
            </w:r>
          </w:p>
        </w:tc>
        <w:tc>
          <w:tcPr>
            <w:tcW w:w="2005" w:type="dxa"/>
            <w:vAlign w:val="center"/>
          </w:tcPr>
          <w:p w14:paraId="69FC3027">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严格控制试剂用量，培养精准意识；2. 节约试剂减少浪费，树立环保理念</w:t>
            </w:r>
            <w:r>
              <w:rPr>
                <w:rFonts w:hint="eastAsia" w:ascii="宋体" w:hAnsi="宋体" w:eastAsia="宋体" w:cs="宋体"/>
                <w:sz w:val="21"/>
                <w:szCs w:val="21"/>
                <w:lang w:eastAsia="zh-CN"/>
              </w:rPr>
              <w:t>。</w:t>
            </w:r>
          </w:p>
        </w:tc>
        <w:tc>
          <w:tcPr>
            <w:tcW w:w="1117" w:type="dxa"/>
            <w:vAlign w:val="center"/>
          </w:tcPr>
          <w:p w14:paraId="47F85719">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2</w:t>
            </w:r>
          </w:p>
        </w:tc>
      </w:tr>
      <w:tr w14:paraId="1A0F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96" w:type="dxa"/>
            <w:vAlign w:val="center"/>
          </w:tcPr>
          <w:p w14:paraId="68535D33">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实训六 妊娠诊断技术</w:t>
            </w:r>
          </w:p>
          <w:p w14:paraId="51CD29F0">
            <w:pPr>
              <w:spacing w:before="120" w:after="120" w:line="288" w:lineRule="auto"/>
              <w:ind w:left="0" w:leftChars="0"/>
              <w:jc w:val="center"/>
              <w:rPr>
                <w:rFonts w:hint="eastAsia" w:ascii="宋体" w:hAnsi="宋体" w:eastAsia="宋体" w:cs="宋体"/>
                <w:sz w:val="21"/>
                <w:szCs w:val="21"/>
                <w:lang w:val="en-US" w:eastAsia="zh-CN"/>
              </w:rPr>
            </w:pPr>
          </w:p>
        </w:tc>
        <w:tc>
          <w:tcPr>
            <w:tcW w:w="1878" w:type="dxa"/>
            <w:vAlign w:val="center"/>
          </w:tcPr>
          <w:p w14:paraId="0FCC02A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妊娠诊断技术</w:t>
            </w:r>
          </w:p>
        </w:tc>
        <w:tc>
          <w:tcPr>
            <w:tcW w:w="1755" w:type="dxa"/>
            <w:vAlign w:val="center"/>
          </w:tcPr>
          <w:p w14:paraId="1D39F808">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外部观察法（腹围、乳房变化）的判断要点；2. 直肠检查法的操作技巧与注意事项；3. B超诊断仪的操作流程；4. 妊娠与非妊娠影像的识别特征</w:t>
            </w:r>
          </w:p>
        </w:tc>
        <w:tc>
          <w:tcPr>
            <w:tcW w:w="1266" w:type="dxa"/>
            <w:vAlign w:val="center"/>
          </w:tcPr>
          <w:p w14:paraId="2BEA5300">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1. 能运用外部观察法初步判断妊娠状态；2. 能协助完成B超操作并识别基本妊娠影像</w:t>
            </w:r>
          </w:p>
        </w:tc>
        <w:tc>
          <w:tcPr>
            <w:tcW w:w="2005" w:type="dxa"/>
            <w:vAlign w:val="center"/>
          </w:tcPr>
          <w:p w14:paraId="30CE3C5D">
            <w:pPr>
              <w:spacing w:before="120" w:after="120" w:line="288"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rPr>
              <w:t>1. 轻柔操作保护孕畜，培养动物福利意识；2. 对诊断结果负责，强化责任担当</w:t>
            </w:r>
            <w:r>
              <w:rPr>
                <w:rFonts w:hint="eastAsia" w:ascii="宋体" w:hAnsi="宋体" w:eastAsia="宋体" w:cs="宋体"/>
                <w:sz w:val="21"/>
                <w:szCs w:val="21"/>
                <w:lang w:eastAsia="zh-CN"/>
              </w:rPr>
              <w:t>。</w:t>
            </w:r>
          </w:p>
        </w:tc>
        <w:tc>
          <w:tcPr>
            <w:tcW w:w="1117" w:type="dxa"/>
            <w:vAlign w:val="center"/>
          </w:tcPr>
          <w:p w14:paraId="5CD54F77">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sz w:val="21"/>
                <w:szCs w:val="21"/>
              </w:rPr>
              <w:t>4</w:t>
            </w:r>
          </w:p>
        </w:tc>
      </w:tr>
    </w:tbl>
    <w:p w14:paraId="36582F44">
      <w:pPr>
        <w:pStyle w:val="3"/>
        <w:numPr>
          <w:ilvl w:val="0"/>
          <w:numId w:val="2"/>
        </w:numPr>
        <w:bidi w:val="0"/>
        <w:ind w:left="420" w:leftChars="0" w:firstLineChars="0"/>
        <w:rPr>
          <w:rFonts w:hint="eastAsia"/>
          <w:lang w:val="en-US" w:eastAsia="zh-CN"/>
        </w:rPr>
      </w:pPr>
      <w:r>
        <w:rPr>
          <w:rFonts w:hint="eastAsia"/>
          <w:lang w:val="en-US" w:eastAsia="zh-CN"/>
        </w:rPr>
        <w:t>课程考核与评价</w:t>
      </w:r>
    </w:p>
    <w:p w14:paraId="7AAB6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5484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F3F280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124CF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5152F9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4CCECE6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DAB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22FE2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362AFF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5BF6B5EE">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5F46521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6784C1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2FA9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6062C9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6F7FC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72766D3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7711CC1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64E1F33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5FC3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AE8036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44E2A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6" w:type="pct"/>
            <w:tcBorders>
              <w:left w:val="single" w:color="auto" w:sz="4" w:space="0"/>
              <w:right w:val="single" w:color="auto" w:sz="4" w:space="0"/>
            </w:tcBorders>
            <w:vAlign w:val="center"/>
          </w:tcPr>
          <w:p w14:paraId="61EFB26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6AEEE5A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0C5E970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E25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99C241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321296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2288AA1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719" w:type="pct"/>
            <w:tcBorders>
              <w:left w:val="single" w:color="auto" w:sz="4" w:space="0"/>
              <w:right w:val="single" w:color="auto" w:sz="4" w:space="0"/>
            </w:tcBorders>
            <w:vAlign w:val="center"/>
          </w:tcPr>
          <w:p w14:paraId="5B54896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395191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508A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65CAC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37AB507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3DE1FBA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7424ED0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AE17C7A">
      <w:pPr>
        <w:pStyle w:val="3"/>
        <w:bidi w:val="0"/>
        <w:rPr>
          <w:rFonts w:hint="eastAsia"/>
          <w:lang w:val="en-US" w:eastAsia="zh-CN"/>
        </w:rPr>
      </w:pPr>
      <w:r>
        <w:rPr>
          <w:rFonts w:hint="eastAsia"/>
          <w:lang w:val="en-US" w:eastAsia="zh-CN"/>
        </w:rPr>
        <w:t>七、课程实施与保障</w:t>
      </w:r>
    </w:p>
    <w:p w14:paraId="01535B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6B86E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线上线下混合式教学组织形式。依托学习通等教学平台，整合核心教材电子版、实训操作视频、行业案例库等数字资源，实现课前预习、课中互动、课后拓展的闭环教学。理论课采用“案例导入—知识讲解—小组研讨—总结应用”的流程，实践课采用“示范操作—分组练习—纠错指导—考核验收”的模式，强化学生动手能力培养。鼓励开展小组协作学习，在实训项目中设置团队任务，培养学生沟通协作能力。</w:t>
      </w:r>
    </w:p>
    <w:p w14:paraId="080498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18612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围绕“专业知识与思政教育水乳交融”构建课程思政价值链，多维度融入思政元素。在精神传承上，结合我国畜禽育种成就（如地方鸡种改良、高产奶牛培育）传递科技创新精神与工匠精神，实践中以规范操作、数据真实、误差分析等要求渗透严谨品质。在行业责任融入方面，结合种业振兴政策，将选种选配、良种保护等知识与行业需求结合，增强学生学习动力；通过实验废弃物环保处理、动物操作规范等内容，培养环保与动物福利意识。在价值引领上，借助畜禽繁殖技术推广助力乡村振兴的案例，培养学生“懂农业、爱农村、爱农民”的情怀，树立科技报国志向与职业责任意识。</w:t>
      </w:r>
    </w:p>
    <w:p w14:paraId="788FC3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AB7A6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38840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专兼职教师团队13人，其中，专职教师11人，兼职教师2人，团队成员在学历、职称等方面形成梯队结构，知识结构合理，专业带头人与骨干教师具备职业实践经历，掌握现代教育理论，具有课程体系和项目化课程的开发能力。兼职教师来自学院建立的兼职教师资源库，分别是畜牧兽医行业内企业、兽药店、兽医院、兽药厂、饲料加工厂、养殖场、动物疫控中心、动物防疫检疫单位、农业科研单位等，具有丰富的生产实践经验，能满足本专业教学特别是生产性实训教学需要，并建立定期开展专业（学科）教研机制。</w:t>
      </w:r>
    </w:p>
    <w:p w14:paraId="56E3BA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19333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实施课程教学，校内具备以下实训条件：多媒体专业教室、教学做一体化实训室和相关实训仪器。</w:t>
      </w:r>
    </w:p>
    <w:tbl>
      <w:tblPr>
        <w:tblStyle w:val="27"/>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570"/>
        <w:gridCol w:w="4055"/>
        <w:gridCol w:w="2466"/>
      </w:tblGrid>
      <w:tr w14:paraId="0198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4EE15145">
            <w:pPr>
              <w:pStyle w:val="9"/>
              <w:widowControl/>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序号</w:t>
            </w:r>
          </w:p>
        </w:tc>
        <w:tc>
          <w:tcPr>
            <w:tcW w:w="1303" w:type="pct"/>
            <w:noWrap w:val="0"/>
            <w:vAlign w:val="center"/>
          </w:tcPr>
          <w:p w14:paraId="3C62FB1A">
            <w:pPr>
              <w:pStyle w:val="9"/>
              <w:widowControl/>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名称</w:t>
            </w:r>
          </w:p>
        </w:tc>
        <w:tc>
          <w:tcPr>
            <w:tcW w:w="2056" w:type="pct"/>
            <w:noWrap w:val="0"/>
            <w:vAlign w:val="center"/>
          </w:tcPr>
          <w:p w14:paraId="42B49D45">
            <w:pPr>
              <w:pStyle w:val="9"/>
              <w:widowControl/>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基本配置要求</w:t>
            </w:r>
          </w:p>
        </w:tc>
        <w:tc>
          <w:tcPr>
            <w:tcW w:w="1250" w:type="pct"/>
            <w:noWrap w:val="0"/>
            <w:vAlign w:val="center"/>
          </w:tcPr>
          <w:p w14:paraId="5E8E6B43">
            <w:pPr>
              <w:pStyle w:val="9"/>
              <w:widowControl/>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功能说明</w:t>
            </w:r>
          </w:p>
        </w:tc>
      </w:tr>
      <w:tr w14:paraId="6490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79DE9A9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w:t>
            </w:r>
          </w:p>
        </w:tc>
        <w:tc>
          <w:tcPr>
            <w:tcW w:w="1303" w:type="pct"/>
            <w:noWrap w:val="0"/>
            <w:vAlign w:val="center"/>
          </w:tcPr>
          <w:p w14:paraId="07494D85">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动物微生物检测实训室</w:t>
            </w:r>
          </w:p>
        </w:tc>
        <w:tc>
          <w:tcPr>
            <w:tcW w:w="2056" w:type="pct"/>
            <w:noWrap w:val="0"/>
            <w:vAlign w:val="center"/>
          </w:tcPr>
          <w:p w14:paraId="45521ADF">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提供微生物检测设备、进行微生物检验观察、培养</w:t>
            </w:r>
          </w:p>
        </w:tc>
        <w:tc>
          <w:tcPr>
            <w:tcW w:w="1250" w:type="pct"/>
            <w:noWrap w:val="0"/>
            <w:vAlign w:val="center"/>
          </w:tcPr>
          <w:p w14:paraId="323A3A31">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微生物的分离、培养技术</w:t>
            </w:r>
          </w:p>
        </w:tc>
      </w:tr>
      <w:tr w14:paraId="6A97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12F7743C">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2</w:t>
            </w:r>
          </w:p>
        </w:tc>
        <w:tc>
          <w:tcPr>
            <w:tcW w:w="1303" w:type="pct"/>
            <w:noWrap w:val="0"/>
            <w:vAlign w:val="center"/>
          </w:tcPr>
          <w:p w14:paraId="2F25BBBE">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动物解剖实训室</w:t>
            </w:r>
          </w:p>
        </w:tc>
        <w:tc>
          <w:tcPr>
            <w:tcW w:w="2056" w:type="pct"/>
            <w:noWrap w:val="0"/>
            <w:vAlign w:val="center"/>
          </w:tcPr>
          <w:p w14:paraId="339D4C6E">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提供动物标本进行动物的组织器官识别</w:t>
            </w:r>
          </w:p>
        </w:tc>
        <w:tc>
          <w:tcPr>
            <w:tcW w:w="1250" w:type="pct"/>
            <w:noWrap w:val="0"/>
            <w:vAlign w:val="center"/>
          </w:tcPr>
          <w:p w14:paraId="28FAC35A">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识别动物解剖器官及组织结构</w:t>
            </w:r>
          </w:p>
        </w:tc>
      </w:tr>
      <w:tr w14:paraId="7114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5EB4C67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3</w:t>
            </w:r>
          </w:p>
        </w:tc>
        <w:tc>
          <w:tcPr>
            <w:tcW w:w="1303" w:type="pct"/>
            <w:noWrap w:val="0"/>
            <w:vAlign w:val="center"/>
          </w:tcPr>
          <w:p w14:paraId="29043482">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动物病理实训室</w:t>
            </w:r>
          </w:p>
        </w:tc>
        <w:tc>
          <w:tcPr>
            <w:tcW w:w="2056" w:type="pct"/>
            <w:noWrap w:val="0"/>
            <w:vAlign w:val="center"/>
          </w:tcPr>
          <w:p w14:paraId="56654CA5">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提供动物组织病理标本、组织切片设备</w:t>
            </w:r>
          </w:p>
        </w:tc>
        <w:tc>
          <w:tcPr>
            <w:tcW w:w="1250" w:type="pct"/>
            <w:noWrap w:val="0"/>
            <w:vAlign w:val="center"/>
          </w:tcPr>
          <w:p w14:paraId="145CAAC7">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识别病理特征、制备病理组织切片技术</w:t>
            </w:r>
          </w:p>
        </w:tc>
      </w:tr>
      <w:tr w14:paraId="7DB6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1DD12B7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4</w:t>
            </w:r>
          </w:p>
        </w:tc>
        <w:tc>
          <w:tcPr>
            <w:tcW w:w="1303" w:type="pct"/>
            <w:noWrap w:val="0"/>
            <w:vAlign w:val="center"/>
          </w:tcPr>
          <w:p w14:paraId="5C79044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动物药理实训室</w:t>
            </w:r>
          </w:p>
        </w:tc>
        <w:tc>
          <w:tcPr>
            <w:tcW w:w="2056" w:type="pct"/>
            <w:noWrap w:val="0"/>
            <w:vAlign w:val="center"/>
          </w:tcPr>
          <w:p w14:paraId="53E2BF6E">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提供药品检测及制药设备</w:t>
            </w:r>
          </w:p>
        </w:tc>
        <w:tc>
          <w:tcPr>
            <w:tcW w:w="1250" w:type="pct"/>
            <w:noWrap w:val="0"/>
            <w:vAlign w:val="center"/>
          </w:tcPr>
          <w:p w14:paraId="77C3D648">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检测和制备药品技术</w:t>
            </w:r>
          </w:p>
        </w:tc>
      </w:tr>
      <w:tr w14:paraId="6760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0DAAD04F">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5</w:t>
            </w:r>
          </w:p>
        </w:tc>
        <w:tc>
          <w:tcPr>
            <w:tcW w:w="1303" w:type="pct"/>
            <w:noWrap w:val="0"/>
            <w:vAlign w:val="center"/>
          </w:tcPr>
          <w:p w14:paraId="308054B8">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动物传染病实训室</w:t>
            </w:r>
          </w:p>
        </w:tc>
        <w:tc>
          <w:tcPr>
            <w:tcW w:w="2056" w:type="pct"/>
            <w:noWrap w:val="0"/>
            <w:vAlign w:val="center"/>
          </w:tcPr>
          <w:p w14:paraId="34A1BEF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提供传染病病料检测设备</w:t>
            </w:r>
          </w:p>
        </w:tc>
        <w:tc>
          <w:tcPr>
            <w:tcW w:w="1250" w:type="pct"/>
            <w:noWrap w:val="0"/>
            <w:vAlign w:val="center"/>
          </w:tcPr>
          <w:p w14:paraId="47764F94">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传染病样本检测技术</w:t>
            </w:r>
          </w:p>
        </w:tc>
      </w:tr>
      <w:tr w14:paraId="6849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17A1653A">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6</w:t>
            </w:r>
          </w:p>
        </w:tc>
        <w:tc>
          <w:tcPr>
            <w:tcW w:w="1303" w:type="pct"/>
            <w:noWrap w:val="0"/>
            <w:vAlign w:val="center"/>
          </w:tcPr>
          <w:p w14:paraId="783AABE6">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动物寄生虫实训室</w:t>
            </w:r>
          </w:p>
        </w:tc>
        <w:tc>
          <w:tcPr>
            <w:tcW w:w="2056" w:type="pct"/>
            <w:noWrap w:val="0"/>
            <w:vAlign w:val="center"/>
          </w:tcPr>
          <w:p w14:paraId="4EA6682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提供动物寄生虫分离设备</w:t>
            </w:r>
          </w:p>
        </w:tc>
        <w:tc>
          <w:tcPr>
            <w:tcW w:w="1250" w:type="pct"/>
            <w:noWrap w:val="0"/>
            <w:vAlign w:val="center"/>
          </w:tcPr>
          <w:p w14:paraId="49F85F3C">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分离及检测寄生虫虫卵虫体技术训练</w:t>
            </w:r>
          </w:p>
        </w:tc>
      </w:tr>
      <w:tr w14:paraId="79F7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4C26A05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7</w:t>
            </w:r>
          </w:p>
        </w:tc>
        <w:tc>
          <w:tcPr>
            <w:tcW w:w="1303" w:type="pct"/>
            <w:noWrap w:val="0"/>
            <w:vAlign w:val="center"/>
          </w:tcPr>
          <w:p w14:paraId="280F32A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动物外科手术实训室</w:t>
            </w:r>
          </w:p>
        </w:tc>
        <w:tc>
          <w:tcPr>
            <w:tcW w:w="2056" w:type="pct"/>
            <w:noWrap w:val="0"/>
            <w:vAlign w:val="center"/>
          </w:tcPr>
          <w:p w14:paraId="7F403C6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提供外科手术设备</w:t>
            </w:r>
          </w:p>
        </w:tc>
        <w:tc>
          <w:tcPr>
            <w:tcW w:w="1250" w:type="pct"/>
            <w:noWrap w:val="0"/>
            <w:vAlign w:val="center"/>
          </w:tcPr>
          <w:p w14:paraId="69293B63">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进行动物手术训练</w:t>
            </w:r>
          </w:p>
        </w:tc>
      </w:tr>
      <w:tr w14:paraId="3ACD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1D7EC155">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8</w:t>
            </w:r>
          </w:p>
        </w:tc>
        <w:tc>
          <w:tcPr>
            <w:tcW w:w="1303" w:type="pct"/>
            <w:noWrap w:val="0"/>
            <w:vAlign w:val="center"/>
          </w:tcPr>
          <w:p w14:paraId="7440D0B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显微镜实训室</w:t>
            </w:r>
          </w:p>
        </w:tc>
        <w:tc>
          <w:tcPr>
            <w:tcW w:w="2056" w:type="pct"/>
            <w:noWrap w:val="0"/>
            <w:vAlign w:val="center"/>
          </w:tcPr>
          <w:p w14:paraId="25B7B283">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光学显微镜、显微镜电子显示设备</w:t>
            </w:r>
          </w:p>
        </w:tc>
        <w:tc>
          <w:tcPr>
            <w:tcW w:w="1250" w:type="pct"/>
            <w:noWrap w:val="0"/>
            <w:vAlign w:val="center"/>
          </w:tcPr>
          <w:p w14:paraId="64F71242">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显微镜观察技术、设备使用和维护训练</w:t>
            </w:r>
          </w:p>
        </w:tc>
      </w:tr>
      <w:tr w14:paraId="6937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751A2E1B">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9</w:t>
            </w:r>
          </w:p>
        </w:tc>
        <w:tc>
          <w:tcPr>
            <w:tcW w:w="1303" w:type="pct"/>
            <w:noWrap w:val="0"/>
            <w:vAlign w:val="center"/>
          </w:tcPr>
          <w:p w14:paraId="10EF000E">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动物营养与饲料实训室</w:t>
            </w:r>
          </w:p>
        </w:tc>
        <w:tc>
          <w:tcPr>
            <w:tcW w:w="2056" w:type="pct"/>
            <w:noWrap w:val="0"/>
            <w:vAlign w:val="center"/>
          </w:tcPr>
          <w:p w14:paraId="7E881CE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饲料的营养成分检测设备、饲料原料检测设备</w:t>
            </w:r>
          </w:p>
        </w:tc>
        <w:tc>
          <w:tcPr>
            <w:tcW w:w="1250" w:type="pct"/>
            <w:noWrap w:val="0"/>
            <w:vAlign w:val="center"/>
          </w:tcPr>
          <w:p w14:paraId="22557FF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动物饲料的成分指标检测技术</w:t>
            </w:r>
          </w:p>
        </w:tc>
      </w:tr>
      <w:tr w14:paraId="358B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1F225521">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10</w:t>
            </w:r>
          </w:p>
        </w:tc>
        <w:tc>
          <w:tcPr>
            <w:tcW w:w="1303" w:type="pct"/>
            <w:noWrap w:val="0"/>
            <w:vAlign w:val="center"/>
          </w:tcPr>
          <w:p w14:paraId="717209D8">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动物繁育实训室</w:t>
            </w:r>
          </w:p>
        </w:tc>
        <w:tc>
          <w:tcPr>
            <w:tcW w:w="2056" w:type="pct"/>
            <w:noWrap w:val="0"/>
            <w:vAlign w:val="center"/>
          </w:tcPr>
          <w:p w14:paraId="33B1BAEA">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动物繁育及检测设备</w:t>
            </w:r>
          </w:p>
        </w:tc>
        <w:tc>
          <w:tcPr>
            <w:tcW w:w="1250" w:type="pct"/>
            <w:noWrap w:val="0"/>
            <w:vAlign w:val="center"/>
          </w:tcPr>
          <w:p w14:paraId="19A27AC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繁殖育种及繁殖疾病检测技术</w:t>
            </w:r>
          </w:p>
        </w:tc>
      </w:tr>
      <w:tr w14:paraId="27A0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2AA2E51F">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11</w:t>
            </w:r>
          </w:p>
        </w:tc>
        <w:tc>
          <w:tcPr>
            <w:tcW w:w="1303" w:type="pct"/>
            <w:noWrap w:val="0"/>
            <w:vAlign w:val="center"/>
          </w:tcPr>
          <w:p w14:paraId="3608367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动物临床诊断实训室</w:t>
            </w:r>
          </w:p>
        </w:tc>
        <w:tc>
          <w:tcPr>
            <w:tcW w:w="2056" w:type="pct"/>
            <w:noWrap w:val="0"/>
            <w:vAlign w:val="center"/>
          </w:tcPr>
          <w:p w14:paraId="63A82F3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动物的一般疾病检验检测设备</w:t>
            </w:r>
          </w:p>
        </w:tc>
        <w:tc>
          <w:tcPr>
            <w:tcW w:w="1250" w:type="pct"/>
            <w:noWrap w:val="0"/>
            <w:vAlign w:val="center"/>
          </w:tcPr>
          <w:p w14:paraId="43A60287">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血液、尿液、超声等技术检测和设备使用</w:t>
            </w:r>
          </w:p>
        </w:tc>
      </w:tr>
      <w:tr w14:paraId="2A6D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6053BA60">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12</w:t>
            </w:r>
          </w:p>
        </w:tc>
        <w:tc>
          <w:tcPr>
            <w:tcW w:w="1303" w:type="pct"/>
            <w:noWrap w:val="0"/>
            <w:vAlign w:val="center"/>
          </w:tcPr>
          <w:p w14:paraId="25A66DCF">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动物虚拟解剖实训室</w:t>
            </w:r>
          </w:p>
        </w:tc>
        <w:tc>
          <w:tcPr>
            <w:tcW w:w="2056" w:type="pct"/>
            <w:noWrap w:val="0"/>
            <w:vAlign w:val="center"/>
          </w:tcPr>
          <w:p w14:paraId="749DE9A1">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动物解剖结构虚拟仿真成像系统设备</w:t>
            </w:r>
          </w:p>
        </w:tc>
        <w:tc>
          <w:tcPr>
            <w:tcW w:w="1250" w:type="pct"/>
            <w:noWrap w:val="0"/>
            <w:vAlign w:val="center"/>
          </w:tcPr>
          <w:p w14:paraId="4DF02FEB">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虚拟仿真软件成像进行动物组织器官的识别</w:t>
            </w:r>
          </w:p>
        </w:tc>
      </w:tr>
      <w:tr w14:paraId="5F2C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trPr>
        <w:tc>
          <w:tcPr>
            <w:tcW w:w="389" w:type="pct"/>
            <w:noWrap w:val="0"/>
            <w:vAlign w:val="center"/>
          </w:tcPr>
          <w:p w14:paraId="47B6B69D">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13</w:t>
            </w:r>
          </w:p>
        </w:tc>
        <w:tc>
          <w:tcPr>
            <w:tcW w:w="1303" w:type="pct"/>
            <w:noWrap w:val="0"/>
            <w:vAlign w:val="center"/>
          </w:tcPr>
          <w:p w14:paraId="5E808BA7">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禽类孵化室、出雏室</w:t>
            </w:r>
          </w:p>
        </w:tc>
        <w:tc>
          <w:tcPr>
            <w:tcW w:w="2056" w:type="pct"/>
            <w:noWrap w:val="0"/>
            <w:vAlign w:val="center"/>
          </w:tcPr>
          <w:p w14:paraId="0AA23EF5">
            <w:pPr>
              <w:pStyle w:val="9"/>
              <w:widowControl/>
              <w:tabs>
                <w:tab w:val="left" w:pos="680"/>
              </w:tabs>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禽类的孵化及出雏设备</w:t>
            </w:r>
          </w:p>
        </w:tc>
        <w:tc>
          <w:tcPr>
            <w:tcW w:w="1250" w:type="pct"/>
            <w:noWrap w:val="0"/>
            <w:vAlign w:val="center"/>
          </w:tcPr>
          <w:p w14:paraId="093F7209">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禽类的孵化和出雏技术的训练</w:t>
            </w:r>
          </w:p>
        </w:tc>
      </w:tr>
      <w:tr w14:paraId="193E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389" w:type="pct"/>
            <w:noWrap w:val="0"/>
            <w:vAlign w:val="center"/>
          </w:tcPr>
          <w:p w14:paraId="2A8B8481">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14</w:t>
            </w:r>
          </w:p>
        </w:tc>
        <w:tc>
          <w:tcPr>
            <w:tcW w:w="1303" w:type="pct"/>
            <w:noWrap w:val="0"/>
            <w:vAlign w:val="center"/>
          </w:tcPr>
          <w:p w14:paraId="1719EB2F">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动物标本室</w:t>
            </w:r>
          </w:p>
        </w:tc>
        <w:tc>
          <w:tcPr>
            <w:tcW w:w="2056" w:type="pct"/>
            <w:noWrap w:val="0"/>
            <w:vAlign w:val="center"/>
          </w:tcPr>
          <w:p w14:paraId="232A749E">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动物组织和解剖结构标本</w:t>
            </w:r>
          </w:p>
        </w:tc>
        <w:tc>
          <w:tcPr>
            <w:tcW w:w="1250" w:type="pct"/>
            <w:noWrap w:val="0"/>
            <w:vAlign w:val="center"/>
          </w:tcPr>
          <w:p w14:paraId="06E1C81A">
            <w:pPr>
              <w:pStyle w:val="9"/>
              <w:widowControl/>
              <w:spacing w:line="240" w:lineRule="auto"/>
              <w:ind w:firstLine="0" w:firstLineChars="0"/>
              <w:jc w:val="center"/>
              <w:rPr>
                <w:rFonts w:hint="eastAsia" w:ascii="宋体" w:hAnsi="宋体" w:eastAsia="宋体" w:cs="宋体"/>
                <w:iCs/>
                <w:kern w:val="0"/>
                <w:sz w:val="21"/>
                <w:szCs w:val="21"/>
              </w:rPr>
            </w:pPr>
            <w:r>
              <w:rPr>
                <w:rFonts w:hint="eastAsia" w:ascii="宋体" w:hAnsi="宋体" w:eastAsia="宋体" w:cs="宋体"/>
                <w:iCs/>
                <w:kern w:val="0"/>
                <w:sz w:val="21"/>
                <w:szCs w:val="21"/>
              </w:rPr>
              <w:t>组织器官解剖识别能力</w:t>
            </w:r>
          </w:p>
        </w:tc>
      </w:tr>
    </w:tbl>
    <w:p w14:paraId="25DFC7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87EE7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以徐相亭主编的《动物遗传繁育》为核心教材，配套《家畜繁殖学》（朱士恩主编）等参考书。专业教室配备黑（白）板、多媒体设备、互联网接入环境，实训基地配备完善的安全防护设施与操作规范标识。</w:t>
      </w:r>
    </w:p>
    <w:p w14:paraId="2B3225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建设包含教学课件、实训操作视频、微课视频、行业案例库、在线测试题库等内容的专业教学资源库，种类丰富、形式多样、使用便捷、动态更新。依托学习通等平台实现资源共享，满足线上教学与学生个性化学习需求。</w:t>
      </w:r>
    </w:p>
    <w:p w14:paraId="21B5B18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EC88D97">
      <w:pPr>
        <w:pStyle w:val="2"/>
        <w:bidi w:val="0"/>
        <w:rPr>
          <w:rFonts w:hint="eastAsia"/>
          <w:lang w:val="en-US" w:eastAsia="zh-CN"/>
        </w:rPr>
      </w:pPr>
      <w:bookmarkStart w:id="22" w:name="_Toc28357"/>
      <w:bookmarkStart w:id="23" w:name="_Toc15544"/>
      <w:r>
        <w:rPr>
          <w:rFonts w:hint="eastAsia"/>
          <w:lang w:val="en-US" w:eastAsia="zh-CN"/>
        </w:rPr>
        <w:t>《动物生物化学》课程标准</w:t>
      </w:r>
      <w:bookmarkEnd w:id="22"/>
      <w:bookmarkEnd w:id="23"/>
    </w:p>
    <w:p w14:paraId="38A7F1E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74F0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7E10DD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61294BD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动物生物化学</w:t>
            </w:r>
          </w:p>
        </w:tc>
        <w:tc>
          <w:tcPr>
            <w:tcW w:w="534" w:type="pct"/>
            <w:tcBorders>
              <w:top w:val="single" w:color="auto" w:sz="4" w:space="0"/>
              <w:left w:val="single" w:color="auto" w:sz="4" w:space="0"/>
              <w:bottom w:val="single" w:color="auto" w:sz="4" w:space="0"/>
              <w:right w:val="single" w:color="auto" w:sz="4" w:space="0"/>
            </w:tcBorders>
            <w:vAlign w:val="center"/>
          </w:tcPr>
          <w:p w14:paraId="1C8B13F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249260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xcxm24005</w:t>
            </w:r>
          </w:p>
        </w:tc>
      </w:tr>
      <w:tr w14:paraId="3B71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27B431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7CEE5FC3">
            <w:pPr>
              <w:jc w:val="center"/>
              <w:rPr>
                <w:rFonts w:hint="default" w:eastAsiaTheme="minorEastAsia"/>
                <w:lang w:val="en-US" w:eastAsia="zh-CN"/>
              </w:rPr>
            </w:pPr>
            <w:r>
              <w:rPr>
                <w:rFonts w:hint="eastAsia"/>
                <w:lang w:val="en-US" w:eastAsia="zh-CN"/>
              </w:rPr>
              <w:t>32学时</w:t>
            </w:r>
          </w:p>
        </w:tc>
        <w:tc>
          <w:tcPr>
            <w:tcW w:w="874" w:type="pct"/>
            <w:tcBorders>
              <w:top w:val="single" w:color="auto" w:sz="4" w:space="0"/>
              <w:left w:val="single" w:color="auto" w:sz="4" w:space="0"/>
              <w:bottom w:val="single" w:color="auto" w:sz="4" w:space="0"/>
              <w:right w:val="single" w:color="auto" w:sz="4" w:space="0"/>
            </w:tcBorders>
          </w:tcPr>
          <w:p w14:paraId="239EC3C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621A8284">
            <w:pPr>
              <w:jc w:val="center"/>
              <w:rPr>
                <w:rFonts w:hint="eastAsia"/>
                <w:lang w:val="en-US" w:eastAsia="zh-CN"/>
              </w:rPr>
            </w:pPr>
            <w:r>
              <w:rPr>
                <w:rFonts w:hint="eastAsia"/>
                <w:lang w:val="en-US" w:eastAsia="zh-CN"/>
              </w:rPr>
              <w:t>16学时</w:t>
            </w:r>
          </w:p>
        </w:tc>
        <w:tc>
          <w:tcPr>
            <w:tcW w:w="534" w:type="pct"/>
            <w:tcBorders>
              <w:top w:val="single" w:color="auto" w:sz="4" w:space="0"/>
              <w:left w:val="single" w:color="auto" w:sz="4" w:space="0"/>
              <w:bottom w:val="single" w:color="auto" w:sz="4" w:space="0"/>
              <w:right w:val="single" w:color="auto" w:sz="4" w:space="0"/>
            </w:tcBorders>
            <w:vAlign w:val="center"/>
          </w:tcPr>
          <w:p w14:paraId="2D8479D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26F252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6E55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FF92A4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4D5DA4C">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畜牧兽医专业</w:t>
            </w:r>
          </w:p>
        </w:tc>
      </w:tr>
      <w:tr w14:paraId="59C4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346CB0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vAlign w:val="top"/>
          </w:tcPr>
          <w:p w14:paraId="75C9EE8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DE5FD2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6914CE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4706AC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926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E003AF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2152DF57">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szCs w:val="24"/>
                <w:lang w:val="en-US" w:eastAsia="zh-CN" w:bidi="ar-SA"/>
              </w:rPr>
              <w:t>《无机化学》、《有机化学》、《动物解剖与组织胚胎学》</w:t>
            </w:r>
          </w:p>
        </w:tc>
      </w:tr>
      <w:tr w14:paraId="2E58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E004F4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1D7EBD41">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《动物遗传繁育学》、《动物营养与饲料学》、《动物药理》、《动物病理》</w:t>
            </w:r>
          </w:p>
        </w:tc>
      </w:tr>
      <w:tr w14:paraId="562B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DB4E13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E65E69C">
            <w:pPr>
              <w:rPr>
                <w:rFonts w:hint="eastAsia" w:ascii="Arial" w:hAnsi="Arial" w:eastAsia="宋体" w:cs="Arial"/>
                <w:kern w:val="2"/>
                <w:sz w:val="21"/>
                <w:szCs w:val="24"/>
                <w:lang w:val="en-US" w:eastAsia="zh-CN" w:bidi="ar-SA"/>
              </w:rPr>
            </w:pPr>
            <w:r>
              <w:rPr>
                <w:rFonts w:hint="eastAsia" w:ascii="Arial" w:hAnsi="Arial" w:eastAsia="宋体" w:cs="Arial"/>
              </w:rPr>
              <w:t>《动物生物化学》，李京杰主编，中国农业大学出版社，2019年9月</w:t>
            </w:r>
            <w:r>
              <w:rPr>
                <w:rFonts w:hint="eastAsia" w:ascii="Arial" w:hAnsi="Arial" w:eastAsia="宋体" w:cs="Arial"/>
                <w:lang w:eastAsia="zh-CN"/>
              </w:rPr>
              <w:t>，978-7-5655-2264-0</w:t>
            </w:r>
          </w:p>
        </w:tc>
      </w:tr>
      <w:tr w14:paraId="30C1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BD68E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7E20DC4C">
            <w:pPr>
              <w:widowControl/>
              <w:jc w:val="center"/>
              <w:rPr>
                <w:rFonts w:hint="default" w:eastAsiaTheme="minorEastAsia"/>
                <w:lang w:val="en-US" w:eastAsia="zh-CN"/>
              </w:rPr>
            </w:pPr>
            <w:r>
              <w:rPr>
                <w:rFonts w:hint="eastAsia"/>
                <w:lang w:val="en-US" w:eastAsia="zh-CN"/>
              </w:rPr>
              <w:t>奚晓娥</w:t>
            </w:r>
          </w:p>
        </w:tc>
        <w:tc>
          <w:tcPr>
            <w:tcW w:w="534" w:type="pct"/>
            <w:tcBorders>
              <w:top w:val="single" w:color="auto" w:sz="4" w:space="0"/>
              <w:left w:val="single" w:color="auto" w:sz="4" w:space="0"/>
              <w:bottom w:val="single" w:color="auto" w:sz="4" w:space="0"/>
              <w:right w:val="single" w:color="auto" w:sz="4" w:space="0"/>
            </w:tcBorders>
            <w:vAlign w:val="center"/>
          </w:tcPr>
          <w:p w14:paraId="3559390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4F45D2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2E5A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C07CFD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6C0F2050">
            <w:pPr>
              <w:widowControl/>
              <w:jc w:val="left"/>
              <w:rPr>
                <w:rFonts w:hint="eastAsia"/>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67DAA42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EA9009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22CD0EA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AAE63A9">
      <w:pPr>
        <w:pStyle w:val="3"/>
        <w:bidi w:val="0"/>
        <w:rPr>
          <w:rFonts w:hint="eastAsia"/>
          <w:lang w:val="en-US" w:eastAsia="zh-CN"/>
        </w:rPr>
      </w:pPr>
      <w:r>
        <w:rPr>
          <w:rFonts w:hint="eastAsia"/>
          <w:lang w:val="en-US" w:eastAsia="zh-CN"/>
        </w:rPr>
        <w:t>二、课程定位</w:t>
      </w:r>
    </w:p>
    <w:p w14:paraId="0B206B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理论学习</w:t>
      </w:r>
      <w:r>
        <w:rPr>
          <w:rFonts w:hint="eastAsia" w:asciiTheme="minorEastAsia" w:hAnsiTheme="minorEastAsia" w:eastAsiaTheme="minorEastAsia" w:cstheme="minorEastAsia"/>
          <w:sz w:val="24"/>
          <w:szCs w:val="24"/>
          <w:lang w:val="en-US" w:eastAsia="zh-CN"/>
        </w:rPr>
        <w:t>基础上开设的一门理论+实践的课程，对接专业人才培养目标，面向畜产品质量检疫</w:t>
      </w:r>
      <w:r>
        <w:rPr>
          <w:rFonts w:hint="eastAsia" w:asciiTheme="minorEastAsia" w:hAnsiTheme="minorEastAsia" w:cstheme="minorEastAsia"/>
          <w:sz w:val="24"/>
          <w:szCs w:val="24"/>
          <w:lang w:val="en-US" w:eastAsia="zh-CN"/>
        </w:rPr>
        <w:t>、执业兽医、宠物医生、检疫检验员</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严谨求实、精益求精的</w:t>
      </w:r>
      <w:r>
        <w:rPr>
          <w:rFonts w:hint="eastAsia" w:asciiTheme="minorEastAsia" w:hAnsiTheme="minorEastAsia" w:eastAsiaTheme="minorEastAsia" w:cstheme="minorEastAsia"/>
          <w:sz w:val="24"/>
          <w:szCs w:val="24"/>
          <w:lang w:val="en-US" w:eastAsia="zh-CN"/>
        </w:rPr>
        <w:t>职业</w:t>
      </w:r>
      <w:r>
        <w:rPr>
          <w:rFonts w:hint="eastAsia" w:asciiTheme="minorEastAsia" w:hAnsiTheme="minorEastAsia" w:cstheme="minorEastAsia"/>
          <w:sz w:val="24"/>
          <w:szCs w:val="24"/>
          <w:lang w:val="en-US" w:eastAsia="zh-CN"/>
        </w:rPr>
        <w:t>素养与敬畏生命、依法从业的职业道德</w:t>
      </w:r>
      <w:r>
        <w:rPr>
          <w:rFonts w:hint="eastAsia" w:asciiTheme="minorEastAsia" w:hAnsiTheme="minorEastAsia" w:eastAsiaTheme="minorEastAsia" w:cstheme="minorEastAsia"/>
          <w:sz w:val="24"/>
          <w:szCs w:val="24"/>
          <w:lang w:val="en-US" w:eastAsia="zh-CN"/>
        </w:rPr>
        <w:t>，具备</w:t>
      </w:r>
      <w:r>
        <w:rPr>
          <w:rFonts w:hint="eastAsia" w:asciiTheme="minorEastAsia" w:hAnsiTheme="minorEastAsia" w:cstheme="minorEastAsia"/>
          <w:sz w:val="24"/>
          <w:szCs w:val="24"/>
          <w:lang w:val="en-US" w:eastAsia="zh-CN"/>
        </w:rPr>
        <w:t>运用动物生物化学基本原理分析与解决畜牧兽医实际问题的综合应用</w:t>
      </w:r>
      <w:r>
        <w:rPr>
          <w:rFonts w:hint="eastAsia" w:asciiTheme="minorEastAsia" w:hAnsiTheme="minorEastAsia" w:eastAsiaTheme="minorEastAsia" w:cstheme="minorEastAsia"/>
          <w:sz w:val="24"/>
          <w:szCs w:val="24"/>
          <w:lang w:val="en-US" w:eastAsia="zh-CN"/>
        </w:rPr>
        <w:t>能力，为后续《动物遗传繁育学》、《动物营养</w:t>
      </w:r>
      <w:r>
        <w:rPr>
          <w:rFonts w:hint="eastAsia" w:asciiTheme="minorEastAsia" w:hAnsiTheme="minorEastAsia" w:cstheme="minorEastAsia"/>
          <w:sz w:val="24"/>
          <w:szCs w:val="24"/>
          <w:lang w:val="en-US" w:eastAsia="zh-CN"/>
        </w:rPr>
        <w:t>与饲料</w:t>
      </w:r>
      <w:r>
        <w:rPr>
          <w:rFonts w:hint="eastAsia" w:asciiTheme="minorEastAsia" w:hAnsiTheme="minorEastAsia" w:eastAsiaTheme="minorEastAsia" w:cstheme="minorEastAsia"/>
          <w:sz w:val="24"/>
          <w:szCs w:val="24"/>
          <w:lang w:val="en-US" w:eastAsia="zh-CN"/>
        </w:rPr>
        <w:t>学》、《动物药理》</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《动物病理》</w:t>
      </w:r>
      <w:r>
        <w:rPr>
          <w:rFonts w:hint="eastAsia" w:asciiTheme="minorEastAsia" w:hAnsiTheme="minorEastAsia" w:cstheme="minorEastAsia"/>
          <w:sz w:val="24"/>
          <w:szCs w:val="24"/>
          <w:lang w:val="en-US" w:eastAsia="zh-CN"/>
        </w:rPr>
        <w:t>《动物临床诊疗技术》等专业</w:t>
      </w:r>
      <w:r>
        <w:rPr>
          <w:rFonts w:hint="eastAsia" w:asciiTheme="minorEastAsia" w:hAnsiTheme="minorEastAsia" w:eastAsiaTheme="minorEastAsia" w:cstheme="minorEastAsia"/>
          <w:sz w:val="24"/>
          <w:szCs w:val="24"/>
          <w:lang w:val="en-US" w:eastAsia="zh-CN"/>
        </w:rPr>
        <w:t>课程学习奠定基础的课程。同时，课程坚持立德树人根本任务，将社会主义核心价值观、科学精神、工匠精神、职业道德与法律法规等思政内容有机融入糖、脂、蛋白质代谢及生物氧化等核心知识模块，引导学生在掌握专业知识的同时树立正确的世界观、人生观、价值观，增强服务畜牧业高质量发展和保障动物源性食品安全的使命感与责任感。</w:t>
      </w:r>
    </w:p>
    <w:p w14:paraId="3BF04579">
      <w:pPr>
        <w:pStyle w:val="3"/>
        <w:bidi w:val="0"/>
        <w:rPr>
          <w:rFonts w:hint="eastAsia"/>
          <w:lang w:val="en-US" w:eastAsia="zh-CN"/>
        </w:rPr>
      </w:pPr>
      <w:r>
        <w:rPr>
          <w:rFonts w:hint="eastAsia"/>
          <w:lang w:val="en-US" w:eastAsia="zh-CN"/>
        </w:rPr>
        <w:t>三、课程设计思路</w:t>
      </w:r>
    </w:p>
    <w:p w14:paraId="5524F3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本课程设计遵循“以学生为中心、以职业能力为本位”的原则，紧密对接高职畜牧兽医专业人才培养目标</w:t>
      </w:r>
      <w:r>
        <w:rPr>
          <w:rFonts w:hint="eastAsia" w:asciiTheme="minorEastAsia" w:hAnsiTheme="minorEastAsia" w:cstheme="minorEastAsia"/>
          <w:sz w:val="24"/>
          <w:szCs w:val="24"/>
          <w:lang w:val="en-US" w:eastAsia="zh-CN"/>
        </w:rPr>
        <w:t>。</w:t>
      </w:r>
    </w:p>
    <w:p w14:paraId="3E377B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依据畜牧兽医行业动物疫病诊疗、宠物临床检验、畜产品安全检测等岗位的核心需求，结合职业资格标准进行选取。重点围绕蛋白质、酶、糖、脂质等生物大分子的代谢及其调控展开，突出与动物健康、疾病和营养相关的生化原理。同时，适度融入行业新技术与职业标准，确保教学内容的实用性与前沿性。</w:t>
      </w:r>
    </w:p>
    <w:p w14:paraId="5DDE1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论教学以多媒体课件、案例导入、课堂讲授为主要形式，通过典型临床病例（如酮病、糖尿病等）引导学生理解抽象的生化原理，强调理论联系实际。实践教学采用“基础实验+岗位见习”相结合的方式。校内通过实验课训练学生基本操作技能；校外通过组织参观动物医院、检测机构等，增强学生对知识应用场景的直观认识。团队与模块化教学按课程知识模块组织教学，并尝试专业教师协同授课，发挥各自专长。鼓励利用在线资源拓展学习，满足学生个性化需求。</w:t>
      </w:r>
    </w:p>
    <w:p w14:paraId="36D7AD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建立过程性考核与终结性考核相结合的评价体系，注重课堂参与、实验表现、案例分析等学习过程的评价，综合考查学生知识掌握与实际应用能力，并通过反馈持续优化教学。</w:t>
      </w:r>
    </w:p>
    <w:p w14:paraId="58F5C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教学中自然融入科学精神、职业伦理与行业情怀。通过介绍我国科学家在相关领域的贡献及行业模范事迹，培养学生严谨求实的科学态度、爱岗敬业的工匠精神和保障动物健康的责任意识，实现价值塑造与知识传授的统一。</w:t>
      </w:r>
    </w:p>
    <w:p w14:paraId="3D0D0E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本课程旨在为学生后续专业课程学习及未来职业发展奠定必要的生物化学基础，最终培养具备扎实基础、实践能力和良好职业素养的高素质技术技能人才。</w:t>
      </w:r>
    </w:p>
    <w:p w14:paraId="53317A9E">
      <w:pPr>
        <w:pStyle w:val="3"/>
        <w:bidi w:val="0"/>
        <w:rPr>
          <w:rFonts w:hint="eastAsia"/>
          <w:lang w:val="en-US" w:eastAsia="zh-CN"/>
        </w:rPr>
      </w:pPr>
      <w:r>
        <w:rPr>
          <w:rFonts w:hint="eastAsia"/>
          <w:lang w:val="en-US" w:eastAsia="zh-CN"/>
        </w:rPr>
        <w:t>四、课程目标</w:t>
      </w:r>
    </w:p>
    <w:p w14:paraId="70618D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75D48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了解生物化学的基本概念、发展历程及其在畜牧兽医领域的重要性。</w:t>
      </w:r>
    </w:p>
    <w:p w14:paraId="2169C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熟悉蛋白质、酶、核酸等生物大分子的结构与功能。</w:t>
      </w:r>
    </w:p>
    <w:p w14:paraId="168346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掌握糖类、脂类、蛋白质在动物体内的代谢过程及其调节机制。</w:t>
      </w:r>
    </w:p>
    <w:p w14:paraId="76FE41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熟悉生物氧化与能量转换的基本原理及相互关系。</w:t>
      </w:r>
    </w:p>
    <w:p w14:paraId="66C84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了解动物机体水、无机盐代谢及酸碱平衡的生化基础。</w:t>
      </w:r>
    </w:p>
    <w:p w14:paraId="15A9E8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熟悉核酸代谢与蛋白质生物合成的基本过程及其与动物生长、疾病的关系。</w:t>
      </w:r>
    </w:p>
    <w:p w14:paraId="66D824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3EFDE4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能熟练运用生化基本原理，分析与解释动物常见代谢性疾病（如酮病、脂肪肝等）的发生机制。</w:t>
      </w:r>
    </w:p>
    <w:p w14:paraId="648BA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能规范进行常用生化指标（如血糖、血脂、酶活性）的检测操作，并准确解读实验结果。</w:t>
      </w:r>
    </w:p>
    <w:p w14:paraId="2219C1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善用生物化学知识，初步具备评估动物营养状况、饲料营养价值及制定合理营养方案的能力。</w:t>
      </w:r>
    </w:p>
    <w:p w14:paraId="756BCB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能结合临床案例，综合运用代谢知识对动物生理与病理状态进行初步生化分析。</w:t>
      </w:r>
    </w:p>
    <w:p w14:paraId="4B9A23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具备查阅生化专业资料、获取新知识新技术，并用于解决实际问题的持续学习能力。</w:t>
      </w:r>
    </w:p>
    <w:p w14:paraId="6CA9E4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41037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培养学生严谨求实、科学探索的精神，养成规范操作、客观分析实验数据的职业习惯。</w:t>
      </w:r>
    </w:p>
    <w:p w14:paraId="47F98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培养学生敬畏生命、关爱动物的职业操守，树立保障动物福利与畜产品安全的责任意识。</w:t>
      </w:r>
    </w:p>
    <w:p w14:paraId="3F93F7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培养学生团队协作与沟通协调能力，能够在实验和项目任务中有效合作。</w:t>
      </w:r>
    </w:p>
    <w:p w14:paraId="7E4719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培养学生具备良好的职业道德与法律意识，自觉遵循行业规范与实验室安全准则。</w:t>
      </w:r>
    </w:p>
    <w:p w14:paraId="21D859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培养学生树立终身学习理念，具备适应行业技术发展、不断更新知识结构的进取意识。</w:t>
      </w:r>
    </w:p>
    <w:p w14:paraId="0DC284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1581B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职业道德：引导学生树立“爱岗敬业、诚实守信”的畜牧兽医职业伦理，自觉遵守行业规范，坚守专业操作的严谨性与公正性，为保障动物健康与畜产品安全履职尽责；​</w:t>
      </w:r>
    </w:p>
    <w:p w14:paraId="3AE7F1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工匠精神：培养学生追求卓越、精益求精的科学态度，在生化实验与检测中注重细节、规范操作，于反复实践中锤炼扎实技能与专注耐心，树立对技术精益求精的价值追求；​</w:t>
      </w:r>
    </w:p>
    <w:p w14:paraId="063E5C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法治意识：增强学生依法从业观念，使其熟悉《动物防疫法》《兽药管理条例》等相关法律法规，理解生化检测与用药规范的法律依据，自觉在专业活动中恪守法律红线；​</w:t>
      </w:r>
    </w:p>
    <w:p w14:paraId="2507B7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社会责任：强化学生服务畜牧业健康发展、保障公共卫生安全的社会责任感，理解生化知识在疫病防控、食品安全、环境保护中的重要作用，激发投身行业、奉献社会的使命感；​</w:t>
      </w:r>
    </w:p>
    <w:p w14:paraId="7BF1BF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家国情怀：通过介绍我国科学家在生物化学及相关领域的贡献，以及畜牧业发展的成就，增强学生行业自信与文化认同，培养扎根三农、服务乡村振兴的家国担当；</w:t>
      </w:r>
    </w:p>
    <w:p w14:paraId="2EFED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创新意识：鼓励学生在掌握经典理论基础上，关注生物化学新技术、新方法在畜牧兽医领域的应用，培育批判性思维与探索精神，为未来行业技术创新奠定思想基础；​</w:t>
      </w:r>
    </w:p>
    <w:p w14:paraId="477D4E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生态文明：引导学生理解动物代谢与资源利用、环境保护之间的内在联系，树立绿色养殖、生态安全的可持续发展理念，增强在专业实践中推动畜牧业与自然和谐共生的自觉意识。</w:t>
      </w:r>
    </w:p>
    <w:p w14:paraId="3CC74C92">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525"/>
        <w:gridCol w:w="2242"/>
        <w:gridCol w:w="1269"/>
        <w:gridCol w:w="3007"/>
        <w:gridCol w:w="706"/>
      </w:tblGrid>
      <w:tr w14:paraId="7775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58" w:type="pct"/>
            <w:vAlign w:val="center"/>
          </w:tcPr>
          <w:p w14:paraId="2A31AD4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293B3BC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774" w:type="pct"/>
            <w:vAlign w:val="center"/>
          </w:tcPr>
          <w:p w14:paraId="0F8BF76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1B0E5F9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138" w:type="pct"/>
            <w:vAlign w:val="center"/>
          </w:tcPr>
          <w:p w14:paraId="1AB3C68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644" w:type="pct"/>
            <w:vAlign w:val="center"/>
          </w:tcPr>
          <w:p w14:paraId="219C955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526" w:type="pct"/>
            <w:vAlign w:val="center"/>
          </w:tcPr>
          <w:p w14:paraId="40BF9D0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58" w:type="pct"/>
            <w:vAlign w:val="center"/>
          </w:tcPr>
          <w:p w14:paraId="31B222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240E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07F0003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第一章 蛋白质</w:t>
            </w:r>
          </w:p>
        </w:tc>
        <w:tc>
          <w:tcPr>
            <w:tcW w:w="774" w:type="pct"/>
            <w:vAlign w:val="center"/>
          </w:tcPr>
          <w:p w14:paraId="67761D2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第一节 蛋白质的结构与功能</w:t>
            </w:r>
          </w:p>
        </w:tc>
        <w:tc>
          <w:tcPr>
            <w:tcW w:w="1138" w:type="pct"/>
            <w:vAlign w:val="center"/>
          </w:tcPr>
          <w:p w14:paraId="6E5C5AC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蛋白质的基本组成单位（氨基酸的结构特点、分类）</w:t>
            </w:r>
            <w:r>
              <w:rPr>
                <w:rFonts w:hint="eastAsia" w:ascii="宋体" w:hAnsi="宋体" w:eastAsia="宋体" w:cs="宋体"/>
                <w:sz w:val="21"/>
                <w:szCs w:val="21"/>
                <w:lang w:eastAsia="zh-CN"/>
              </w:rPr>
              <w:t>。</w:t>
            </w:r>
          </w:p>
          <w:p w14:paraId="24A81B9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蛋白质的分子结构（一级结构定义及意义，二、三、四级结构基本概念）</w:t>
            </w:r>
            <w:r>
              <w:rPr>
                <w:rFonts w:hint="eastAsia" w:ascii="宋体" w:hAnsi="宋体" w:eastAsia="宋体" w:cs="宋体"/>
                <w:sz w:val="21"/>
                <w:szCs w:val="21"/>
                <w:lang w:eastAsia="zh-CN"/>
              </w:rPr>
              <w:t>。</w:t>
            </w:r>
          </w:p>
          <w:p w14:paraId="1FDDF3B3">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蛋白质的重要理化性质（两性电离、变性与复性、沉淀）</w:t>
            </w:r>
            <w:r>
              <w:rPr>
                <w:rFonts w:hint="eastAsia" w:ascii="宋体" w:hAnsi="宋体" w:eastAsia="宋体" w:cs="宋体"/>
                <w:sz w:val="21"/>
                <w:szCs w:val="21"/>
                <w:lang w:eastAsia="zh-CN"/>
              </w:rPr>
              <w:t>。</w:t>
            </w:r>
          </w:p>
          <w:p w14:paraId="7439CC0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4. 蛋白质在动物体内的生理功能</w:t>
            </w:r>
            <w:r>
              <w:rPr>
                <w:rFonts w:hint="eastAsia" w:ascii="宋体" w:hAnsi="宋体" w:eastAsia="宋体" w:cs="宋体"/>
                <w:sz w:val="21"/>
                <w:szCs w:val="21"/>
                <w:lang w:eastAsia="zh-CN"/>
              </w:rPr>
              <w:t>。</w:t>
            </w:r>
          </w:p>
        </w:tc>
        <w:tc>
          <w:tcPr>
            <w:tcW w:w="644" w:type="pct"/>
            <w:vAlign w:val="center"/>
          </w:tcPr>
          <w:p w14:paraId="12455A3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能依据氨基酸结构特点区分常见氨基酸类型</w:t>
            </w:r>
            <w:r>
              <w:rPr>
                <w:rFonts w:hint="eastAsia" w:ascii="宋体" w:hAnsi="宋体" w:eastAsia="宋体" w:cs="宋体"/>
                <w:sz w:val="21"/>
                <w:szCs w:val="21"/>
                <w:lang w:eastAsia="zh-CN"/>
              </w:rPr>
              <w:t>。</w:t>
            </w:r>
          </w:p>
          <w:p w14:paraId="14C2BF5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能解释蛋白质变性在食品加工和医疗中的应用</w:t>
            </w:r>
            <w:r>
              <w:rPr>
                <w:rFonts w:hint="eastAsia" w:ascii="宋体" w:hAnsi="宋体" w:eastAsia="宋体" w:cs="宋体"/>
                <w:sz w:val="21"/>
                <w:szCs w:val="21"/>
                <w:lang w:eastAsia="zh-CN"/>
              </w:rPr>
              <w:t>。</w:t>
            </w:r>
          </w:p>
          <w:p w14:paraId="07C4930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能识别影响蛋白质理化性质的关键因素</w:t>
            </w:r>
            <w:r>
              <w:rPr>
                <w:rFonts w:hint="eastAsia" w:ascii="宋体" w:hAnsi="宋体" w:eastAsia="宋体" w:cs="宋体"/>
                <w:sz w:val="21"/>
                <w:szCs w:val="21"/>
                <w:lang w:eastAsia="zh-CN"/>
              </w:rPr>
              <w:t>。</w:t>
            </w:r>
          </w:p>
        </w:tc>
        <w:tc>
          <w:tcPr>
            <w:tcW w:w="1526" w:type="pct"/>
            <w:vAlign w:val="center"/>
          </w:tcPr>
          <w:p w14:paraId="13EFD1E6">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1.凯氏定氮法与“毒奶粉”事件，以反面典型事例培养学生的诚信意识。</w:t>
            </w:r>
          </w:p>
          <w:p w14:paraId="4F0E859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2.我国首例结晶牛胰岛素的合成是多学科、多团队、大协作产出的成果，体现科研团队协作的重要性及科研工作者为科学无私奉献的精神。</w:t>
            </w:r>
          </w:p>
        </w:tc>
        <w:tc>
          <w:tcPr>
            <w:tcW w:w="358" w:type="pct"/>
            <w:vAlign w:val="center"/>
          </w:tcPr>
          <w:p w14:paraId="7B182D76">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1396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4A29BF47">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第二章 核酸</w:t>
            </w:r>
          </w:p>
        </w:tc>
        <w:tc>
          <w:tcPr>
            <w:tcW w:w="774" w:type="pct"/>
            <w:vAlign w:val="center"/>
          </w:tcPr>
          <w:p w14:paraId="6AE07CC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第一节 核酸的结构与功能</w:t>
            </w:r>
          </w:p>
        </w:tc>
        <w:tc>
          <w:tcPr>
            <w:tcW w:w="1138" w:type="pct"/>
            <w:vAlign w:val="center"/>
          </w:tcPr>
          <w:p w14:paraId="56D3782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核酸的分类（DNA与RNA的区别）</w:t>
            </w:r>
            <w:r>
              <w:rPr>
                <w:rFonts w:hint="eastAsia" w:ascii="宋体" w:hAnsi="宋体" w:eastAsia="宋体" w:cs="宋体"/>
                <w:sz w:val="21"/>
                <w:szCs w:val="21"/>
                <w:lang w:eastAsia="zh-CN"/>
              </w:rPr>
              <w:t>。</w:t>
            </w:r>
          </w:p>
          <w:p w14:paraId="69C68DC0">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核酸的基本组成单位（核苷酸的结构）</w:t>
            </w:r>
            <w:r>
              <w:rPr>
                <w:rFonts w:hint="eastAsia" w:ascii="宋体" w:hAnsi="宋体" w:eastAsia="宋体" w:cs="宋体"/>
                <w:sz w:val="21"/>
                <w:szCs w:val="21"/>
                <w:lang w:eastAsia="zh-CN"/>
              </w:rPr>
              <w:t>。</w:t>
            </w:r>
          </w:p>
          <w:p w14:paraId="235B15D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DNA的分子结构（双螺旋结构的主要特点）</w:t>
            </w:r>
            <w:r>
              <w:rPr>
                <w:rFonts w:hint="eastAsia" w:ascii="宋体" w:hAnsi="宋体" w:eastAsia="宋体" w:cs="宋体"/>
                <w:sz w:val="21"/>
                <w:szCs w:val="21"/>
                <w:lang w:eastAsia="zh-CN"/>
              </w:rPr>
              <w:t>。</w:t>
            </w:r>
          </w:p>
          <w:p w14:paraId="26E805D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核酸的理化性质（紫外吸收、变性与复性）</w:t>
            </w:r>
            <w:r>
              <w:rPr>
                <w:rFonts w:hint="eastAsia" w:ascii="宋体" w:hAnsi="宋体" w:eastAsia="宋体" w:cs="宋体"/>
                <w:sz w:val="21"/>
                <w:szCs w:val="21"/>
                <w:lang w:eastAsia="zh-CN"/>
              </w:rPr>
              <w:t>。</w:t>
            </w:r>
          </w:p>
          <w:p w14:paraId="36F6D612">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5. 核酸在遗传信息传递中的作用</w:t>
            </w:r>
            <w:r>
              <w:rPr>
                <w:rFonts w:hint="eastAsia" w:ascii="宋体" w:hAnsi="宋体" w:eastAsia="宋体" w:cs="宋体"/>
                <w:sz w:val="21"/>
                <w:szCs w:val="21"/>
                <w:lang w:eastAsia="zh-CN"/>
              </w:rPr>
              <w:t>。</w:t>
            </w:r>
          </w:p>
        </w:tc>
        <w:tc>
          <w:tcPr>
            <w:tcW w:w="644" w:type="pct"/>
            <w:vAlign w:val="center"/>
          </w:tcPr>
          <w:p w14:paraId="7F55F06B">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能准确区分DNA与RNA的化学组成及结构差异</w:t>
            </w:r>
            <w:r>
              <w:rPr>
                <w:rFonts w:hint="eastAsia" w:ascii="宋体" w:hAnsi="宋体" w:eastAsia="宋体" w:cs="宋体"/>
                <w:sz w:val="21"/>
                <w:szCs w:val="21"/>
                <w:lang w:eastAsia="zh-CN"/>
              </w:rPr>
              <w:t>。</w:t>
            </w:r>
          </w:p>
          <w:p w14:paraId="2ECCDE62">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能利用核酸的紫外吸收特性解释相关实验现象</w:t>
            </w:r>
            <w:r>
              <w:rPr>
                <w:rFonts w:hint="eastAsia" w:ascii="宋体" w:hAnsi="宋体" w:eastAsia="宋体" w:cs="宋体"/>
                <w:sz w:val="21"/>
                <w:szCs w:val="21"/>
                <w:lang w:eastAsia="zh-CN"/>
              </w:rPr>
              <w:t>。</w:t>
            </w:r>
          </w:p>
          <w:p w14:paraId="64095F76">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能简述核酸变性在PCR技术中的应用原理</w:t>
            </w:r>
            <w:r>
              <w:rPr>
                <w:rFonts w:hint="eastAsia" w:ascii="宋体" w:hAnsi="宋体" w:eastAsia="宋体" w:cs="宋体"/>
                <w:sz w:val="21"/>
                <w:szCs w:val="21"/>
                <w:lang w:eastAsia="zh-CN"/>
              </w:rPr>
              <w:t>。</w:t>
            </w:r>
          </w:p>
        </w:tc>
        <w:tc>
          <w:tcPr>
            <w:tcW w:w="1526" w:type="pct"/>
            <w:vAlign w:val="center"/>
          </w:tcPr>
          <w:p w14:paraId="7ED6F5B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在讲解核酸的一二三级结构的结构组成时，使同学理解生物中任何具有重要功能的庞然大物——生物大分子，都是由最小的结构单位按照一定的规则和秩序由简单到复杂有序地缔结而成，这和社会的结构组成具有相似的道理，我们每一人作为社会这个“生物大分子”的一个基本组成单位，只有我们每一个人都遵守社会的规则和秩序，才会使社会这个“生物大分子”正常运作，并越来越和谐。</w:t>
            </w:r>
          </w:p>
        </w:tc>
        <w:tc>
          <w:tcPr>
            <w:tcW w:w="358" w:type="pct"/>
            <w:vAlign w:val="center"/>
          </w:tcPr>
          <w:p w14:paraId="60368C61">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536E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037B34D2">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第三章 酶与维生素</w:t>
            </w:r>
          </w:p>
        </w:tc>
        <w:tc>
          <w:tcPr>
            <w:tcW w:w="774" w:type="pct"/>
            <w:vAlign w:val="center"/>
          </w:tcPr>
          <w:p w14:paraId="2B7B93F1">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酶的特性与应用</w:t>
            </w:r>
          </w:p>
          <w:p w14:paraId="02FFC18B">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第二节 维生素与辅酶</w:t>
            </w:r>
          </w:p>
        </w:tc>
        <w:tc>
          <w:tcPr>
            <w:tcW w:w="1138" w:type="pct"/>
            <w:vAlign w:val="center"/>
          </w:tcPr>
          <w:p w14:paraId="1AEE63B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酶的化学本质与催化特点</w:t>
            </w:r>
            <w:r>
              <w:rPr>
                <w:rFonts w:hint="eastAsia" w:ascii="宋体" w:hAnsi="宋体" w:eastAsia="宋体" w:cs="宋体"/>
                <w:sz w:val="21"/>
                <w:szCs w:val="21"/>
                <w:lang w:eastAsia="zh-CN"/>
              </w:rPr>
              <w:t>。</w:t>
            </w:r>
          </w:p>
          <w:p w14:paraId="77433D7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酶的活性中心及影响酶促反应的因素</w:t>
            </w:r>
            <w:r>
              <w:rPr>
                <w:rFonts w:hint="eastAsia" w:ascii="宋体" w:hAnsi="宋体" w:eastAsia="宋体" w:cs="宋体"/>
                <w:sz w:val="21"/>
                <w:szCs w:val="21"/>
                <w:lang w:eastAsia="zh-CN"/>
              </w:rPr>
              <w:t>。</w:t>
            </w:r>
          </w:p>
          <w:p w14:paraId="31700CC6">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辅酶与辅基的概念及维生素的关系</w:t>
            </w:r>
            <w:r>
              <w:rPr>
                <w:rFonts w:hint="eastAsia" w:ascii="宋体" w:hAnsi="宋体" w:eastAsia="宋体" w:cs="宋体"/>
                <w:sz w:val="21"/>
                <w:szCs w:val="21"/>
                <w:lang w:eastAsia="zh-CN"/>
              </w:rPr>
              <w:t>。</w:t>
            </w:r>
          </w:p>
          <w:p w14:paraId="1A2D75F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常见维生素（A、D、B族）的生理功能及缺乏症</w:t>
            </w:r>
            <w:r>
              <w:rPr>
                <w:rFonts w:hint="eastAsia" w:ascii="宋体" w:hAnsi="宋体" w:eastAsia="宋体" w:cs="宋体"/>
                <w:sz w:val="21"/>
                <w:szCs w:val="21"/>
                <w:lang w:eastAsia="zh-CN"/>
              </w:rPr>
              <w:t>。</w:t>
            </w:r>
          </w:p>
          <w:p w14:paraId="5CF765A8">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5. 酶在动物生产中的应用</w:t>
            </w:r>
            <w:r>
              <w:rPr>
                <w:rFonts w:hint="eastAsia" w:ascii="宋体" w:hAnsi="宋体" w:eastAsia="宋体" w:cs="宋体"/>
                <w:sz w:val="21"/>
                <w:szCs w:val="21"/>
                <w:lang w:eastAsia="zh-CN"/>
              </w:rPr>
              <w:t>。</w:t>
            </w:r>
          </w:p>
        </w:tc>
        <w:tc>
          <w:tcPr>
            <w:tcW w:w="644" w:type="pct"/>
            <w:vAlign w:val="center"/>
          </w:tcPr>
          <w:p w14:paraId="4F50855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能分析温度、pH对酶促反应速率的影响规律</w:t>
            </w:r>
            <w:r>
              <w:rPr>
                <w:rFonts w:hint="eastAsia" w:ascii="宋体" w:hAnsi="宋体" w:eastAsia="宋体" w:cs="宋体"/>
                <w:sz w:val="21"/>
                <w:szCs w:val="21"/>
                <w:lang w:eastAsia="zh-CN"/>
              </w:rPr>
              <w:t>。</w:t>
            </w:r>
          </w:p>
          <w:p w14:paraId="18133E8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能解释动物缺乏常见维生素的典型症状</w:t>
            </w:r>
            <w:r>
              <w:rPr>
                <w:rFonts w:hint="eastAsia" w:ascii="宋体" w:hAnsi="宋体" w:eastAsia="宋体" w:cs="宋体"/>
                <w:sz w:val="21"/>
                <w:szCs w:val="21"/>
                <w:lang w:eastAsia="zh-CN"/>
              </w:rPr>
              <w:t>。</w:t>
            </w:r>
          </w:p>
          <w:p w14:paraId="11C7087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能举例说明酶在饲料加工和动物消化中的应用</w:t>
            </w:r>
            <w:r>
              <w:rPr>
                <w:rFonts w:hint="eastAsia" w:ascii="宋体" w:hAnsi="宋体" w:eastAsia="宋体" w:cs="宋体"/>
                <w:sz w:val="21"/>
                <w:szCs w:val="21"/>
                <w:lang w:eastAsia="zh-CN"/>
              </w:rPr>
              <w:t>。</w:t>
            </w:r>
          </w:p>
        </w:tc>
        <w:tc>
          <w:tcPr>
            <w:tcW w:w="1526" w:type="pct"/>
            <w:vAlign w:val="center"/>
          </w:tcPr>
          <w:p w14:paraId="6023CD15">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1.诱导契合学说，解释酶和底物是在相互诱导下来实现彼此的结合与作用，可以由此引导学生在与他人交往时，也要适当调整自己、磨去自己的棱角，才能更好完成与他人的协作，达成共赢。</w:t>
            </w:r>
          </w:p>
          <w:p w14:paraId="4C6DAD5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2.有机磷农药和日本731部队使用的路易士气都是巯基酶的不可逆抑制剂，前者防虫害、增产服务于人，而后者被日本人用于惨无人道的侵略战争，所以，知识和技术既可以救人也可以害人，每一个人都应始终不忘初心、牢记使命，将知识与技术服务于社会和全人类，创造和发挥出它的积极价值。</w:t>
            </w:r>
          </w:p>
        </w:tc>
        <w:tc>
          <w:tcPr>
            <w:tcW w:w="358" w:type="pct"/>
            <w:vAlign w:val="center"/>
          </w:tcPr>
          <w:p w14:paraId="7CE75DB2">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3C29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6133495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第四章 生物氧化</w:t>
            </w:r>
          </w:p>
        </w:tc>
        <w:tc>
          <w:tcPr>
            <w:tcW w:w="774" w:type="pct"/>
            <w:vAlign w:val="center"/>
          </w:tcPr>
          <w:p w14:paraId="0D456797">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生物氧化的基本过程</w:t>
            </w:r>
          </w:p>
          <w:p w14:paraId="5CDE07C0">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第二节 ATP的生成</w:t>
            </w:r>
          </w:p>
        </w:tc>
        <w:tc>
          <w:tcPr>
            <w:tcW w:w="1138" w:type="pct"/>
            <w:vAlign w:val="center"/>
          </w:tcPr>
          <w:p w14:paraId="265FA60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生物氧化的概念与特点（与体外燃烧的区别）</w:t>
            </w:r>
            <w:r>
              <w:rPr>
                <w:rFonts w:hint="eastAsia" w:ascii="宋体" w:hAnsi="宋体" w:eastAsia="宋体" w:cs="宋体"/>
                <w:sz w:val="21"/>
                <w:szCs w:val="21"/>
                <w:lang w:eastAsia="zh-CN"/>
              </w:rPr>
              <w:t>。</w:t>
            </w:r>
            <w:r>
              <w:rPr>
                <w:rFonts w:hint="eastAsia" w:ascii="宋体" w:hAnsi="宋体" w:eastAsia="宋体" w:cs="宋体"/>
                <w:sz w:val="21"/>
                <w:szCs w:val="21"/>
              </w:rPr>
              <w:t>2. 线粒体呼吸链的组成及功能</w:t>
            </w:r>
            <w:r>
              <w:rPr>
                <w:rFonts w:hint="eastAsia" w:ascii="宋体" w:hAnsi="宋体" w:eastAsia="宋体" w:cs="宋体"/>
                <w:sz w:val="21"/>
                <w:szCs w:val="21"/>
                <w:lang w:eastAsia="zh-CN"/>
              </w:rPr>
              <w:t>。</w:t>
            </w:r>
          </w:p>
          <w:p w14:paraId="48FB7497">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ATP的生成方式（底物水平磷酸化、氧化磷酸化）</w:t>
            </w:r>
            <w:r>
              <w:rPr>
                <w:rFonts w:hint="eastAsia" w:ascii="宋体" w:hAnsi="宋体" w:eastAsia="宋体" w:cs="宋体"/>
                <w:sz w:val="21"/>
                <w:szCs w:val="21"/>
                <w:lang w:eastAsia="zh-CN"/>
              </w:rPr>
              <w:t>。</w:t>
            </w:r>
          </w:p>
          <w:p w14:paraId="76ADC58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影响氧化磷酸化的因素</w:t>
            </w:r>
            <w:r>
              <w:rPr>
                <w:rFonts w:hint="eastAsia" w:ascii="宋体" w:hAnsi="宋体" w:eastAsia="宋体" w:cs="宋体"/>
                <w:sz w:val="21"/>
                <w:szCs w:val="21"/>
                <w:lang w:eastAsia="zh-CN"/>
              </w:rPr>
              <w:t>。</w:t>
            </w:r>
          </w:p>
          <w:p w14:paraId="6FAC0FA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5. 生物氧化与动物能量供应的关系</w:t>
            </w:r>
            <w:r>
              <w:rPr>
                <w:rFonts w:hint="eastAsia" w:ascii="宋体" w:hAnsi="宋体" w:eastAsia="宋体" w:cs="宋体"/>
                <w:sz w:val="21"/>
                <w:szCs w:val="21"/>
                <w:lang w:eastAsia="zh-CN"/>
              </w:rPr>
              <w:t>。</w:t>
            </w:r>
          </w:p>
        </w:tc>
        <w:tc>
          <w:tcPr>
            <w:tcW w:w="644" w:type="pct"/>
            <w:vAlign w:val="center"/>
          </w:tcPr>
          <w:p w14:paraId="60734C5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能阐述生物氧化中能量逐步释放的机制</w:t>
            </w:r>
            <w:r>
              <w:rPr>
                <w:rFonts w:hint="eastAsia" w:ascii="宋体" w:hAnsi="宋体" w:eastAsia="宋体" w:cs="宋体"/>
                <w:sz w:val="21"/>
                <w:szCs w:val="21"/>
                <w:lang w:eastAsia="zh-CN"/>
              </w:rPr>
              <w:t>。</w:t>
            </w:r>
          </w:p>
          <w:p w14:paraId="17DA44E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能解释ATP作为“能量通货”的原因</w:t>
            </w:r>
            <w:r>
              <w:rPr>
                <w:rFonts w:hint="eastAsia" w:ascii="宋体" w:hAnsi="宋体" w:eastAsia="宋体" w:cs="宋体"/>
                <w:sz w:val="21"/>
                <w:szCs w:val="21"/>
                <w:lang w:eastAsia="zh-CN"/>
              </w:rPr>
              <w:t>。</w:t>
            </w:r>
          </w:p>
          <w:p w14:paraId="0982E69E">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能分析常见因素对动物体内ATP生成的影响</w:t>
            </w:r>
            <w:r>
              <w:rPr>
                <w:rFonts w:hint="eastAsia" w:ascii="宋体" w:hAnsi="宋体" w:eastAsia="宋体" w:cs="宋体"/>
                <w:sz w:val="21"/>
                <w:szCs w:val="21"/>
                <w:lang w:eastAsia="zh-CN"/>
              </w:rPr>
              <w:t>。</w:t>
            </w:r>
          </w:p>
        </w:tc>
        <w:tc>
          <w:tcPr>
            <w:tcW w:w="1526" w:type="pct"/>
            <w:vAlign w:val="center"/>
          </w:tcPr>
          <w:p w14:paraId="6902181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在生物氧化章节部分,我们会发现原本认为非常简单的过程,实际过程复杂,路径漫长,如氢的氧化。这些可以使学生能够认识到成功道路上的艰辛困苦,砥砺其“路漫漫其修远兮,吾将上下而求索”的坚定意志和奋斗情怀。</w:t>
            </w:r>
          </w:p>
        </w:tc>
        <w:tc>
          <w:tcPr>
            <w:tcW w:w="358" w:type="pct"/>
            <w:vAlign w:val="center"/>
          </w:tcPr>
          <w:p w14:paraId="4D1F1567">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5C3E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457E0D3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第五章 糖类代谢</w:t>
            </w:r>
          </w:p>
        </w:tc>
        <w:tc>
          <w:tcPr>
            <w:tcW w:w="774" w:type="pct"/>
            <w:vAlign w:val="center"/>
          </w:tcPr>
          <w:p w14:paraId="49C36253">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糖的分解代谢</w:t>
            </w:r>
          </w:p>
          <w:p w14:paraId="10BDE28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第二节 糖异生作用</w:t>
            </w:r>
          </w:p>
        </w:tc>
        <w:tc>
          <w:tcPr>
            <w:tcW w:w="1138" w:type="pct"/>
            <w:vAlign w:val="center"/>
          </w:tcPr>
          <w:p w14:paraId="5AEDC80B">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糖的生理功能及动物体内主要糖类</w:t>
            </w:r>
            <w:r>
              <w:rPr>
                <w:rFonts w:hint="eastAsia" w:ascii="宋体" w:hAnsi="宋体" w:eastAsia="宋体" w:cs="宋体"/>
                <w:sz w:val="21"/>
                <w:szCs w:val="21"/>
                <w:lang w:eastAsia="zh-CN"/>
              </w:rPr>
              <w:t>。</w:t>
            </w:r>
          </w:p>
          <w:p w14:paraId="336E7813">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糖酵解的基本过程及生理意义</w:t>
            </w:r>
            <w:r>
              <w:rPr>
                <w:rFonts w:hint="eastAsia" w:ascii="宋体" w:hAnsi="宋体" w:eastAsia="宋体" w:cs="宋体"/>
                <w:sz w:val="21"/>
                <w:szCs w:val="21"/>
                <w:lang w:eastAsia="zh-CN"/>
              </w:rPr>
              <w:t>。</w:t>
            </w:r>
          </w:p>
          <w:p w14:paraId="372A039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三羧酸循环的核心步骤及功能</w:t>
            </w:r>
            <w:r>
              <w:rPr>
                <w:rFonts w:hint="eastAsia" w:ascii="宋体" w:hAnsi="宋体" w:eastAsia="宋体" w:cs="宋体"/>
                <w:sz w:val="21"/>
                <w:szCs w:val="21"/>
                <w:lang w:eastAsia="zh-CN"/>
              </w:rPr>
              <w:t>。</w:t>
            </w:r>
          </w:p>
          <w:p w14:paraId="07F8DA88">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糖异生的概念、原料及生理意义</w:t>
            </w:r>
            <w:r>
              <w:rPr>
                <w:rFonts w:hint="eastAsia" w:ascii="宋体" w:hAnsi="宋体" w:eastAsia="宋体" w:cs="宋体"/>
                <w:sz w:val="21"/>
                <w:szCs w:val="21"/>
                <w:lang w:eastAsia="zh-CN"/>
              </w:rPr>
              <w:t>。</w:t>
            </w:r>
          </w:p>
          <w:p w14:paraId="04B71CA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5. 血糖的调节机制</w:t>
            </w:r>
            <w:r>
              <w:rPr>
                <w:rFonts w:hint="eastAsia" w:ascii="宋体" w:hAnsi="宋体" w:eastAsia="宋体" w:cs="宋体"/>
                <w:sz w:val="21"/>
                <w:szCs w:val="21"/>
                <w:lang w:eastAsia="zh-CN"/>
              </w:rPr>
              <w:t>。</w:t>
            </w:r>
          </w:p>
        </w:tc>
        <w:tc>
          <w:tcPr>
            <w:tcW w:w="644" w:type="pct"/>
            <w:vAlign w:val="center"/>
          </w:tcPr>
          <w:p w14:paraId="60EEF28B">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能简述糖酵解和三羧酸循环的关键产物</w:t>
            </w:r>
            <w:r>
              <w:rPr>
                <w:rFonts w:hint="eastAsia" w:ascii="宋体" w:hAnsi="宋体" w:eastAsia="宋体" w:cs="宋体"/>
                <w:sz w:val="21"/>
                <w:szCs w:val="21"/>
                <w:lang w:eastAsia="zh-CN"/>
              </w:rPr>
              <w:t>。</w:t>
            </w:r>
          </w:p>
          <w:p w14:paraId="44278998">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能解释动物在缺氧条件下的能量供应方式</w:t>
            </w:r>
            <w:r>
              <w:rPr>
                <w:rFonts w:hint="eastAsia" w:ascii="宋体" w:hAnsi="宋体" w:eastAsia="宋体" w:cs="宋体"/>
                <w:sz w:val="21"/>
                <w:szCs w:val="21"/>
                <w:lang w:eastAsia="zh-CN"/>
              </w:rPr>
              <w:t>。</w:t>
            </w:r>
          </w:p>
          <w:p w14:paraId="712BCB2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能分析糖异生对维持动物血糖稳定的作用</w:t>
            </w:r>
            <w:r>
              <w:rPr>
                <w:rFonts w:hint="eastAsia" w:ascii="宋体" w:hAnsi="宋体" w:eastAsia="宋体" w:cs="宋体"/>
                <w:sz w:val="21"/>
                <w:szCs w:val="21"/>
                <w:lang w:eastAsia="zh-CN"/>
              </w:rPr>
              <w:t>。</w:t>
            </w:r>
          </w:p>
        </w:tc>
        <w:tc>
          <w:tcPr>
            <w:tcW w:w="1526" w:type="pct"/>
            <w:vAlign w:val="center"/>
          </w:tcPr>
          <w:p w14:paraId="7FB0B99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讲授葡萄糖酵解过程中，该过程10步反应可以分为两个阶段：投入阶段和产出阶段，且没有前面的投入，就没有后期的产出，这几乎代表了生物体内物质分解放能的普遍规律，从而让学生感悟只有付出，方能收获，想要索取，必先奉献的伟大品格和奉献精神。</w:t>
            </w:r>
          </w:p>
        </w:tc>
        <w:tc>
          <w:tcPr>
            <w:tcW w:w="358" w:type="pct"/>
            <w:vAlign w:val="center"/>
          </w:tcPr>
          <w:p w14:paraId="7651CEB5">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385C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621F274E">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第六章 脂类代谢</w:t>
            </w:r>
          </w:p>
        </w:tc>
        <w:tc>
          <w:tcPr>
            <w:tcW w:w="774" w:type="pct"/>
            <w:vAlign w:val="center"/>
          </w:tcPr>
          <w:p w14:paraId="31CD64A4">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脂类的分解代谢</w:t>
            </w:r>
          </w:p>
          <w:p w14:paraId="11281EBE">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第二节 脂肪的合成代谢</w:t>
            </w:r>
          </w:p>
        </w:tc>
        <w:tc>
          <w:tcPr>
            <w:tcW w:w="1138" w:type="pct"/>
            <w:vAlign w:val="center"/>
          </w:tcPr>
          <w:p w14:paraId="098AB17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脂类的分类及生理功能；2. 脂肪的动员与β-氧化的基本过程</w:t>
            </w:r>
            <w:r>
              <w:rPr>
                <w:rFonts w:hint="eastAsia" w:ascii="宋体" w:hAnsi="宋体" w:eastAsia="宋体" w:cs="宋体"/>
                <w:sz w:val="21"/>
                <w:szCs w:val="21"/>
                <w:lang w:eastAsia="zh-CN"/>
              </w:rPr>
              <w:t>。</w:t>
            </w:r>
          </w:p>
          <w:p w14:paraId="570988C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酮体的生成与利用</w:t>
            </w:r>
            <w:r>
              <w:rPr>
                <w:rFonts w:hint="eastAsia" w:ascii="宋体" w:hAnsi="宋体" w:eastAsia="宋体" w:cs="宋体"/>
                <w:sz w:val="21"/>
                <w:szCs w:val="21"/>
                <w:lang w:eastAsia="zh-CN"/>
              </w:rPr>
              <w:t>。</w:t>
            </w:r>
          </w:p>
          <w:p w14:paraId="38F81A8F">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脂肪合成的原料及关键步骤</w:t>
            </w:r>
            <w:r>
              <w:rPr>
                <w:rFonts w:hint="eastAsia" w:ascii="宋体" w:hAnsi="宋体" w:eastAsia="宋体" w:cs="宋体"/>
                <w:sz w:val="21"/>
                <w:szCs w:val="21"/>
                <w:lang w:eastAsia="zh-CN"/>
              </w:rPr>
              <w:t>。</w:t>
            </w:r>
          </w:p>
          <w:p w14:paraId="0FAF730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5. 血脂的组成与运输</w:t>
            </w:r>
            <w:r>
              <w:rPr>
                <w:rFonts w:hint="eastAsia" w:ascii="宋体" w:hAnsi="宋体" w:eastAsia="宋体" w:cs="宋体"/>
                <w:sz w:val="21"/>
                <w:szCs w:val="21"/>
                <w:lang w:eastAsia="zh-CN"/>
              </w:rPr>
              <w:t>。</w:t>
            </w:r>
          </w:p>
        </w:tc>
        <w:tc>
          <w:tcPr>
            <w:tcW w:w="644" w:type="pct"/>
            <w:vAlign w:val="center"/>
          </w:tcPr>
          <w:p w14:paraId="29242A7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能解释动物在饥饿时脂肪供能的机制</w:t>
            </w:r>
            <w:r>
              <w:rPr>
                <w:rFonts w:hint="eastAsia" w:ascii="宋体" w:hAnsi="宋体" w:eastAsia="宋体" w:cs="宋体"/>
                <w:sz w:val="21"/>
                <w:szCs w:val="21"/>
                <w:lang w:eastAsia="zh-CN"/>
              </w:rPr>
              <w:t>。</w:t>
            </w:r>
          </w:p>
          <w:p w14:paraId="443790C6">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能分析酮体代谢异常对动物健康的影响</w:t>
            </w:r>
            <w:r>
              <w:rPr>
                <w:rFonts w:hint="eastAsia" w:ascii="宋体" w:hAnsi="宋体" w:eastAsia="宋体" w:cs="宋体"/>
                <w:sz w:val="21"/>
                <w:szCs w:val="21"/>
                <w:lang w:eastAsia="zh-CN"/>
              </w:rPr>
              <w:t>。</w:t>
            </w:r>
          </w:p>
          <w:p w14:paraId="25B6AAA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3. 能简述脂肪合成与动物肥育的关系</w:t>
            </w:r>
            <w:r>
              <w:rPr>
                <w:rFonts w:hint="eastAsia" w:ascii="宋体" w:hAnsi="宋体" w:eastAsia="宋体" w:cs="宋体"/>
                <w:sz w:val="21"/>
                <w:szCs w:val="21"/>
                <w:lang w:eastAsia="zh-CN"/>
              </w:rPr>
              <w:t>。</w:t>
            </w:r>
          </w:p>
        </w:tc>
        <w:tc>
          <w:tcPr>
            <w:tcW w:w="1526" w:type="pct"/>
            <w:vAlign w:val="center"/>
          </w:tcPr>
          <w:p w14:paraId="0B7ACE8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从冬眠动物脂肪酸代谢中水形成的重要性，提出我国形势严峻的水资源匮乏、环境保护问题，进而引出节约用水、保护环境、人文情怀等思政元素。</w:t>
            </w:r>
          </w:p>
        </w:tc>
        <w:tc>
          <w:tcPr>
            <w:tcW w:w="358" w:type="pct"/>
            <w:vAlign w:val="center"/>
          </w:tcPr>
          <w:p w14:paraId="6A78A9DB">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r>
      <w:tr w14:paraId="2C35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1EA6C852">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第七章 氨基酸的代谢</w:t>
            </w:r>
          </w:p>
        </w:tc>
        <w:tc>
          <w:tcPr>
            <w:tcW w:w="774" w:type="pct"/>
            <w:vAlign w:val="center"/>
          </w:tcPr>
          <w:p w14:paraId="6668E51D">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氨基酸的分解代谢</w:t>
            </w:r>
          </w:p>
          <w:p w14:paraId="29309092">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第二节 氨的代谢</w:t>
            </w:r>
          </w:p>
        </w:tc>
        <w:tc>
          <w:tcPr>
            <w:tcW w:w="1138" w:type="pct"/>
            <w:vAlign w:val="center"/>
          </w:tcPr>
          <w:p w14:paraId="471EA1ED">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氨基酸的脱氨基作用（主要方式及产物）</w:t>
            </w:r>
            <w:r>
              <w:rPr>
                <w:rFonts w:hint="eastAsia" w:ascii="宋体" w:hAnsi="宋体" w:eastAsia="宋体" w:cs="宋体"/>
                <w:sz w:val="21"/>
                <w:szCs w:val="21"/>
                <w:lang w:eastAsia="zh-CN"/>
              </w:rPr>
              <w:t>。</w:t>
            </w:r>
          </w:p>
          <w:p w14:paraId="1F99425E">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氨的转运（谷氨酰胺转运、丙氨酸-葡萄糖循环）</w:t>
            </w:r>
            <w:r>
              <w:rPr>
                <w:rFonts w:hint="eastAsia" w:ascii="宋体" w:hAnsi="宋体" w:eastAsia="宋体" w:cs="宋体"/>
                <w:sz w:val="21"/>
                <w:szCs w:val="21"/>
                <w:lang w:eastAsia="zh-CN"/>
              </w:rPr>
              <w:t>。</w:t>
            </w:r>
          </w:p>
          <w:p w14:paraId="35A40A95">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尿素的生成过程及生理意义</w:t>
            </w:r>
            <w:r>
              <w:rPr>
                <w:rFonts w:hint="eastAsia" w:ascii="宋体" w:hAnsi="宋体" w:eastAsia="宋体" w:cs="宋体"/>
                <w:sz w:val="21"/>
                <w:szCs w:val="21"/>
                <w:lang w:eastAsia="zh-CN"/>
              </w:rPr>
              <w:t>。</w:t>
            </w:r>
          </w:p>
          <w:p w14:paraId="42C5A2D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氨基酸的脱羧基作用及重要产物</w:t>
            </w:r>
            <w:r>
              <w:rPr>
                <w:rFonts w:hint="eastAsia" w:ascii="宋体" w:hAnsi="宋体" w:eastAsia="宋体" w:cs="宋体"/>
                <w:sz w:val="21"/>
                <w:szCs w:val="21"/>
                <w:lang w:eastAsia="zh-CN"/>
              </w:rPr>
              <w:t>。</w:t>
            </w:r>
          </w:p>
          <w:p w14:paraId="1075F64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5. 必需氨基酸的概念及动物需求</w:t>
            </w:r>
            <w:r>
              <w:rPr>
                <w:rFonts w:hint="eastAsia" w:ascii="宋体" w:hAnsi="宋体" w:eastAsia="宋体" w:cs="宋体"/>
                <w:sz w:val="21"/>
                <w:szCs w:val="21"/>
                <w:lang w:eastAsia="zh-CN"/>
              </w:rPr>
              <w:t>。</w:t>
            </w:r>
          </w:p>
        </w:tc>
        <w:tc>
          <w:tcPr>
            <w:tcW w:w="644" w:type="pct"/>
            <w:vAlign w:val="center"/>
          </w:tcPr>
          <w:p w14:paraId="437E8C2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能阐述氨的毒性及动物体内氨的解毒机制</w:t>
            </w:r>
            <w:r>
              <w:rPr>
                <w:rFonts w:hint="eastAsia" w:ascii="宋体" w:hAnsi="宋体" w:eastAsia="宋体" w:cs="宋体"/>
                <w:sz w:val="21"/>
                <w:szCs w:val="21"/>
                <w:lang w:eastAsia="zh-CN"/>
              </w:rPr>
              <w:t>。</w:t>
            </w:r>
          </w:p>
          <w:p w14:paraId="18FC4338">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能解释必需氨基酸对动物生长的重要性</w:t>
            </w:r>
            <w:r>
              <w:rPr>
                <w:rFonts w:hint="eastAsia" w:ascii="宋体" w:hAnsi="宋体" w:eastAsia="宋体" w:cs="宋体"/>
                <w:sz w:val="21"/>
                <w:szCs w:val="21"/>
                <w:lang w:eastAsia="zh-CN"/>
              </w:rPr>
              <w:t>。</w:t>
            </w:r>
          </w:p>
          <w:p w14:paraId="16EEABF2">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能分析氨基酸代谢异常与动物疾病的关系</w:t>
            </w:r>
            <w:r>
              <w:rPr>
                <w:rFonts w:hint="eastAsia" w:ascii="宋体" w:hAnsi="宋体" w:eastAsia="宋体" w:cs="宋体"/>
                <w:sz w:val="21"/>
                <w:szCs w:val="21"/>
                <w:lang w:eastAsia="zh-CN"/>
              </w:rPr>
              <w:t>。</w:t>
            </w:r>
          </w:p>
        </w:tc>
        <w:tc>
          <w:tcPr>
            <w:tcW w:w="1526" w:type="pct"/>
            <w:vAlign w:val="center"/>
          </w:tcPr>
          <w:p w14:paraId="55F300B5">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细胞存在三种脱氨基形式，其中，联合脱氨基是最重要的，以此引出团结协作、团队精神以及家国情怀的思政元素。</w:t>
            </w:r>
          </w:p>
        </w:tc>
        <w:tc>
          <w:tcPr>
            <w:tcW w:w="358" w:type="pct"/>
            <w:vAlign w:val="center"/>
          </w:tcPr>
          <w:p w14:paraId="33D4B50D">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r>
      <w:tr w14:paraId="4F26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792C59E8">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第八章 核酸和蛋白质的生物合成</w:t>
            </w:r>
          </w:p>
        </w:tc>
        <w:tc>
          <w:tcPr>
            <w:tcW w:w="774" w:type="pct"/>
            <w:vAlign w:val="center"/>
          </w:tcPr>
          <w:p w14:paraId="45149354">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第一节 复制与转录；第二节 翻译与调控</w:t>
            </w:r>
          </w:p>
        </w:tc>
        <w:tc>
          <w:tcPr>
            <w:tcW w:w="1138" w:type="pct"/>
            <w:vAlign w:val="center"/>
          </w:tcPr>
          <w:p w14:paraId="24A372C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DNA复制的基本过程及特点</w:t>
            </w:r>
            <w:r>
              <w:rPr>
                <w:rFonts w:hint="eastAsia" w:ascii="宋体" w:hAnsi="宋体" w:eastAsia="宋体" w:cs="宋体"/>
                <w:sz w:val="21"/>
                <w:szCs w:val="21"/>
                <w:lang w:eastAsia="zh-CN"/>
              </w:rPr>
              <w:t>。</w:t>
            </w:r>
          </w:p>
          <w:p w14:paraId="64CB2612">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转录的概念、模板及产物</w:t>
            </w:r>
            <w:r>
              <w:rPr>
                <w:rFonts w:hint="eastAsia" w:ascii="宋体" w:hAnsi="宋体" w:eastAsia="宋体" w:cs="宋体"/>
                <w:sz w:val="21"/>
                <w:szCs w:val="21"/>
                <w:lang w:eastAsia="zh-CN"/>
              </w:rPr>
              <w:t>。</w:t>
            </w:r>
          </w:p>
          <w:p w14:paraId="1ECAD1B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翻译的过程（核糖体、tRNA、mRNA的作用）</w:t>
            </w:r>
            <w:r>
              <w:rPr>
                <w:rFonts w:hint="eastAsia" w:ascii="宋体" w:hAnsi="宋体" w:eastAsia="宋体" w:cs="宋体"/>
                <w:sz w:val="21"/>
                <w:szCs w:val="21"/>
                <w:lang w:eastAsia="zh-CN"/>
              </w:rPr>
              <w:t>。</w:t>
            </w:r>
          </w:p>
          <w:p w14:paraId="6F56C1F8">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4. 中心法则的内容及意义</w:t>
            </w:r>
            <w:r>
              <w:rPr>
                <w:rFonts w:hint="eastAsia" w:ascii="宋体" w:hAnsi="宋体" w:eastAsia="宋体" w:cs="宋体"/>
                <w:sz w:val="21"/>
                <w:szCs w:val="21"/>
                <w:lang w:eastAsia="zh-CN"/>
              </w:rPr>
              <w:t>。</w:t>
            </w:r>
          </w:p>
          <w:p w14:paraId="56D6337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5. 核酸与蛋白质合成的简单调控</w:t>
            </w:r>
            <w:r>
              <w:rPr>
                <w:rFonts w:hint="eastAsia" w:ascii="宋体" w:hAnsi="宋体" w:eastAsia="宋体" w:cs="宋体"/>
                <w:sz w:val="21"/>
                <w:szCs w:val="21"/>
                <w:lang w:eastAsia="zh-CN"/>
              </w:rPr>
              <w:t>。</w:t>
            </w:r>
          </w:p>
        </w:tc>
        <w:tc>
          <w:tcPr>
            <w:tcW w:w="644" w:type="pct"/>
            <w:vAlign w:val="center"/>
          </w:tcPr>
          <w:p w14:paraId="2C96A9E4">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1. 能简述DNA复制的准确性保障机制</w:t>
            </w:r>
            <w:r>
              <w:rPr>
                <w:rFonts w:hint="eastAsia" w:ascii="宋体" w:hAnsi="宋体" w:eastAsia="宋体" w:cs="宋体"/>
                <w:sz w:val="21"/>
                <w:szCs w:val="21"/>
                <w:lang w:eastAsia="zh-CN"/>
              </w:rPr>
              <w:t>。</w:t>
            </w:r>
          </w:p>
          <w:p w14:paraId="1E87B32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2. 能解释中心法则中遗传信息的传递方向</w:t>
            </w:r>
            <w:r>
              <w:rPr>
                <w:rFonts w:hint="eastAsia" w:ascii="宋体" w:hAnsi="宋体" w:eastAsia="宋体" w:cs="宋体"/>
                <w:sz w:val="21"/>
                <w:szCs w:val="21"/>
                <w:lang w:eastAsia="zh-CN"/>
              </w:rPr>
              <w:t>。</w:t>
            </w:r>
          </w:p>
          <w:p w14:paraId="26285476">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3. 能举例说明核酸合成异常对动物的影响</w:t>
            </w:r>
            <w:r>
              <w:rPr>
                <w:rFonts w:hint="eastAsia" w:ascii="宋体" w:hAnsi="宋体" w:eastAsia="宋体" w:cs="宋体"/>
                <w:sz w:val="21"/>
                <w:szCs w:val="21"/>
                <w:lang w:eastAsia="zh-CN"/>
              </w:rPr>
              <w:t>。</w:t>
            </w:r>
          </w:p>
        </w:tc>
        <w:tc>
          <w:tcPr>
            <w:tcW w:w="1526" w:type="pct"/>
            <w:vAlign w:val="center"/>
          </w:tcPr>
          <w:p w14:paraId="232775EB">
            <w:pPr>
              <w:keepNext/>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通过学习体内蛋白质的生物合成的过程，引出由我国科学家在国际上首次人工合成胰岛素的例子，由中国科学院生化所、有机所以及北京大学精干技术力量组成的中国团队用7年的坚持不懈，通过人工合成胰岛素登顶化学合成之巅。但是，却没有中国科学家因此而获得诺贝尔奖，因为我们“不搞上海的胰岛素，不搞北京的胰岛素，一心一意搞出中国的胰岛素”，人工合成胰岛素是一个诺贝尔奖难以诠释的协作成果。正是强烈的民族责任心、高度的国家使命感驱使科研人员敢于作为、勇于创新、不惧困难，立志为国争光。</w:t>
            </w:r>
          </w:p>
        </w:tc>
        <w:tc>
          <w:tcPr>
            <w:tcW w:w="358" w:type="pct"/>
            <w:vAlign w:val="center"/>
          </w:tcPr>
          <w:p w14:paraId="1D96689B">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r>
      <w:tr w14:paraId="631E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442EECF1">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实训一</w:t>
            </w:r>
          </w:p>
        </w:tc>
        <w:tc>
          <w:tcPr>
            <w:tcW w:w="774" w:type="pct"/>
            <w:vAlign w:val="center"/>
          </w:tcPr>
          <w:p w14:paraId="123BCD1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血清中蛋白质含量的测定</w:t>
            </w:r>
          </w:p>
        </w:tc>
        <w:tc>
          <w:tcPr>
            <w:tcW w:w="1138" w:type="pct"/>
            <w:vAlign w:val="center"/>
          </w:tcPr>
          <w:p w14:paraId="0CE37010">
            <w:pPr>
              <w:keepNext/>
              <w:numPr>
                <w:ilvl w:val="0"/>
                <w:numId w:val="5"/>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蛋白质定量测定的常用方法（凯氏定氮法、双缩脲法等）及原理</w:t>
            </w:r>
            <w:r>
              <w:rPr>
                <w:rFonts w:hint="eastAsia" w:ascii="宋体" w:hAnsi="宋体" w:eastAsia="宋体" w:cs="宋体"/>
                <w:sz w:val="21"/>
                <w:szCs w:val="21"/>
                <w:lang w:eastAsia="zh-CN"/>
              </w:rPr>
              <w:t>。</w:t>
            </w:r>
          </w:p>
          <w:p w14:paraId="7B16ED4D">
            <w:pPr>
              <w:keepNext/>
              <w:numPr>
                <w:ilvl w:val="0"/>
                <w:numId w:val="5"/>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双缩脲反应的特点及适用范围</w:t>
            </w:r>
            <w:r>
              <w:rPr>
                <w:rFonts w:hint="eastAsia" w:ascii="宋体" w:hAnsi="宋体" w:eastAsia="宋体" w:cs="宋体"/>
                <w:sz w:val="21"/>
                <w:szCs w:val="21"/>
                <w:lang w:eastAsia="zh-CN"/>
              </w:rPr>
              <w:t>。</w:t>
            </w:r>
          </w:p>
          <w:p w14:paraId="4D8F4006">
            <w:pPr>
              <w:keepNext/>
              <w:numPr>
                <w:ilvl w:val="0"/>
                <w:numId w:val="5"/>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血清中蛋白质的生理意义及含</w:t>
            </w:r>
            <w:r>
              <w:rPr>
                <w:rFonts w:hint="eastAsia" w:ascii="宋体" w:hAnsi="宋体" w:eastAsia="宋体" w:cs="宋体"/>
                <w:sz w:val="21"/>
                <w:szCs w:val="21"/>
                <w:lang w:eastAsia="zh-CN"/>
              </w:rPr>
              <w:t>。</w:t>
            </w:r>
            <w:r>
              <w:rPr>
                <w:rFonts w:hint="eastAsia" w:ascii="宋体" w:hAnsi="宋体" w:eastAsia="宋体" w:cs="宋体"/>
                <w:sz w:val="21"/>
                <w:szCs w:val="21"/>
              </w:rPr>
              <w:t>量异常的临床提示</w:t>
            </w:r>
            <w:r>
              <w:rPr>
                <w:rFonts w:hint="eastAsia" w:ascii="宋体" w:hAnsi="宋体" w:eastAsia="宋体" w:cs="宋体"/>
                <w:sz w:val="21"/>
                <w:szCs w:val="21"/>
                <w:lang w:eastAsia="zh-CN"/>
              </w:rPr>
              <w:t>。</w:t>
            </w:r>
          </w:p>
        </w:tc>
        <w:tc>
          <w:tcPr>
            <w:tcW w:w="644" w:type="pct"/>
            <w:vAlign w:val="center"/>
          </w:tcPr>
          <w:p w14:paraId="04549741">
            <w:pPr>
              <w:keepNext/>
              <w:numPr>
                <w:ilvl w:val="0"/>
                <w:numId w:val="6"/>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能规范操作移液器、分光光度计等实验仪器</w:t>
            </w:r>
            <w:r>
              <w:rPr>
                <w:rFonts w:hint="eastAsia" w:ascii="宋体" w:hAnsi="宋体" w:eastAsia="宋体" w:cs="宋体"/>
                <w:sz w:val="21"/>
                <w:szCs w:val="21"/>
                <w:lang w:eastAsia="zh-CN"/>
              </w:rPr>
              <w:t>。</w:t>
            </w:r>
          </w:p>
          <w:p w14:paraId="63D4E288">
            <w:pPr>
              <w:keepNext/>
              <w:numPr>
                <w:ilvl w:val="0"/>
                <w:numId w:val="6"/>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能准确配制标准蛋白溶液及反应试剂</w:t>
            </w:r>
            <w:r>
              <w:rPr>
                <w:rFonts w:hint="eastAsia" w:ascii="宋体" w:hAnsi="宋体" w:eastAsia="宋体" w:cs="宋体"/>
                <w:sz w:val="21"/>
                <w:szCs w:val="21"/>
                <w:lang w:eastAsia="zh-CN"/>
              </w:rPr>
              <w:t>。</w:t>
            </w:r>
          </w:p>
          <w:p w14:paraId="76BB3386">
            <w:pPr>
              <w:keepNext/>
              <w:numPr>
                <w:ilvl w:val="0"/>
                <w:numId w:val="6"/>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能计算血清样品中蛋白质含量</w:t>
            </w:r>
            <w:r>
              <w:rPr>
                <w:rFonts w:hint="eastAsia" w:ascii="宋体" w:hAnsi="宋体" w:eastAsia="宋体" w:cs="宋体"/>
                <w:sz w:val="21"/>
                <w:szCs w:val="21"/>
                <w:lang w:eastAsia="zh-CN"/>
              </w:rPr>
              <w:t>。</w:t>
            </w:r>
          </w:p>
          <w:p w14:paraId="1F9CD054">
            <w:pPr>
              <w:keepNext/>
              <w:numPr>
                <w:ilvl w:val="0"/>
                <w:numId w:val="6"/>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能分析实验误差产生的原因并提出改进措施</w:t>
            </w:r>
            <w:r>
              <w:rPr>
                <w:rFonts w:hint="eastAsia" w:ascii="宋体" w:hAnsi="宋体" w:eastAsia="宋体" w:cs="宋体"/>
                <w:sz w:val="21"/>
                <w:szCs w:val="21"/>
                <w:lang w:eastAsia="zh-CN"/>
              </w:rPr>
              <w:t>。</w:t>
            </w:r>
          </w:p>
        </w:tc>
        <w:tc>
          <w:tcPr>
            <w:tcW w:w="1526" w:type="pct"/>
            <w:vAlign w:val="center"/>
          </w:tcPr>
          <w:p w14:paraId="6CB96E6D">
            <w:pPr>
              <w:keepNext/>
              <w:numPr>
                <w:ilvl w:val="0"/>
                <w:numId w:val="7"/>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工匠精神（严谨操作实验仪器，保证数据准确）</w:t>
            </w:r>
            <w:r>
              <w:rPr>
                <w:rFonts w:hint="eastAsia" w:ascii="宋体" w:hAnsi="宋体" w:eastAsia="宋体" w:cs="宋体"/>
                <w:sz w:val="21"/>
                <w:szCs w:val="21"/>
                <w:lang w:eastAsia="zh-CN"/>
              </w:rPr>
              <w:t>。</w:t>
            </w:r>
          </w:p>
          <w:p w14:paraId="0DFD8A05">
            <w:pPr>
              <w:keepNext/>
              <w:numPr>
                <w:ilvl w:val="0"/>
                <w:numId w:val="7"/>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责任意识（重视实验数据的真实性，杜绝数据造假）</w:t>
            </w:r>
            <w:r>
              <w:rPr>
                <w:rFonts w:hint="eastAsia" w:ascii="宋体" w:hAnsi="宋体" w:eastAsia="宋体" w:cs="宋体"/>
                <w:sz w:val="21"/>
                <w:szCs w:val="21"/>
                <w:lang w:eastAsia="zh-CN"/>
              </w:rPr>
              <w:t>。</w:t>
            </w:r>
          </w:p>
          <w:p w14:paraId="08272AA6">
            <w:pPr>
              <w:keepNext/>
              <w:numPr>
                <w:ilvl w:val="0"/>
                <w:numId w:val="7"/>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科学态度（客观分析实验结果，理性看待误差）</w:t>
            </w:r>
            <w:r>
              <w:rPr>
                <w:rFonts w:hint="eastAsia" w:ascii="宋体" w:hAnsi="宋体" w:eastAsia="宋体" w:cs="宋体"/>
                <w:sz w:val="21"/>
                <w:szCs w:val="21"/>
                <w:lang w:eastAsia="zh-CN"/>
              </w:rPr>
              <w:t>。</w:t>
            </w:r>
          </w:p>
        </w:tc>
        <w:tc>
          <w:tcPr>
            <w:tcW w:w="358" w:type="pct"/>
            <w:vAlign w:val="center"/>
          </w:tcPr>
          <w:p w14:paraId="489821B5">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7B6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7B1C126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rPr>
            </w:pPr>
            <w:r>
              <w:rPr>
                <w:rFonts w:hint="eastAsia" w:ascii="宋体" w:hAnsi="宋体" w:eastAsia="宋体" w:cs="宋体"/>
                <w:sz w:val="21"/>
                <w:szCs w:val="21"/>
                <w:lang w:val="en-US" w:eastAsia="zh-CN"/>
              </w:rPr>
              <w:t>实训二</w:t>
            </w:r>
          </w:p>
        </w:tc>
        <w:tc>
          <w:tcPr>
            <w:tcW w:w="774" w:type="pct"/>
            <w:vAlign w:val="center"/>
          </w:tcPr>
          <w:p w14:paraId="0C5D90AC">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动物组织核酸的提取与鉴定</w:t>
            </w:r>
          </w:p>
        </w:tc>
        <w:tc>
          <w:tcPr>
            <w:tcW w:w="1138" w:type="pct"/>
            <w:vAlign w:val="center"/>
          </w:tcPr>
          <w:p w14:paraId="74678C25">
            <w:pPr>
              <w:keepNext/>
              <w:numPr>
                <w:ilvl w:val="0"/>
                <w:numId w:val="8"/>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核酸提取的基本原理（破碎细胞、去除蛋白质、分离核酸）</w:t>
            </w:r>
            <w:r>
              <w:rPr>
                <w:rFonts w:hint="eastAsia" w:ascii="宋体" w:hAnsi="宋体" w:eastAsia="宋体" w:cs="宋体"/>
                <w:sz w:val="21"/>
                <w:szCs w:val="21"/>
                <w:lang w:eastAsia="zh-CN"/>
              </w:rPr>
              <w:t>。</w:t>
            </w:r>
          </w:p>
          <w:p w14:paraId="152045A4">
            <w:pPr>
              <w:keepNext/>
              <w:numPr>
                <w:ilvl w:val="0"/>
                <w:numId w:val="8"/>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酚-氯仿抽提法提取核酸的作用机制</w:t>
            </w:r>
            <w:r>
              <w:rPr>
                <w:rFonts w:hint="eastAsia" w:ascii="宋体" w:hAnsi="宋体" w:eastAsia="宋体" w:cs="宋体"/>
                <w:sz w:val="21"/>
                <w:szCs w:val="21"/>
                <w:lang w:eastAsia="zh-CN"/>
              </w:rPr>
              <w:t>。</w:t>
            </w:r>
          </w:p>
          <w:p w14:paraId="0D226C24">
            <w:pPr>
              <w:keepNext/>
              <w:numPr>
                <w:ilvl w:val="0"/>
                <w:numId w:val="8"/>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核酸的紫外鉴定原理（260nm/280nm吸光度比值的意义）</w:t>
            </w:r>
            <w:r>
              <w:rPr>
                <w:rFonts w:hint="eastAsia" w:ascii="宋体" w:hAnsi="宋体" w:eastAsia="宋体" w:cs="宋体"/>
                <w:sz w:val="21"/>
                <w:szCs w:val="21"/>
                <w:lang w:eastAsia="zh-CN"/>
              </w:rPr>
              <w:t>。</w:t>
            </w:r>
          </w:p>
        </w:tc>
        <w:tc>
          <w:tcPr>
            <w:tcW w:w="644" w:type="pct"/>
            <w:vAlign w:val="center"/>
          </w:tcPr>
          <w:p w14:paraId="02BC17B6">
            <w:pPr>
              <w:keepNext/>
              <w:numPr>
                <w:ilvl w:val="0"/>
                <w:numId w:val="9"/>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能安全处理动物组织样本及有毒试剂</w:t>
            </w:r>
            <w:r>
              <w:rPr>
                <w:rFonts w:hint="eastAsia" w:ascii="宋体" w:hAnsi="宋体" w:eastAsia="宋体" w:cs="宋体"/>
                <w:sz w:val="21"/>
                <w:szCs w:val="21"/>
                <w:lang w:eastAsia="zh-CN"/>
              </w:rPr>
              <w:t>。</w:t>
            </w:r>
          </w:p>
          <w:p w14:paraId="794E7FA6">
            <w:pPr>
              <w:keepNext/>
              <w:numPr>
                <w:ilvl w:val="0"/>
                <w:numId w:val="9"/>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能规范进行组织匀浆、离心等操作</w:t>
            </w:r>
            <w:r>
              <w:rPr>
                <w:rFonts w:hint="eastAsia" w:ascii="宋体" w:hAnsi="宋体" w:eastAsia="宋体" w:cs="宋体"/>
                <w:sz w:val="21"/>
                <w:szCs w:val="21"/>
                <w:lang w:eastAsia="zh-CN"/>
              </w:rPr>
              <w:t>。</w:t>
            </w:r>
          </w:p>
          <w:p w14:paraId="39F3F421">
            <w:pPr>
              <w:keepNext/>
              <w:numPr>
                <w:ilvl w:val="0"/>
                <w:numId w:val="9"/>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能运用紫外分光光度计测定核酸纯度与浓度</w:t>
            </w:r>
            <w:r>
              <w:rPr>
                <w:rFonts w:hint="eastAsia" w:ascii="宋体" w:hAnsi="宋体" w:eastAsia="宋体" w:cs="宋体"/>
                <w:sz w:val="21"/>
                <w:szCs w:val="21"/>
                <w:lang w:eastAsia="zh-CN"/>
              </w:rPr>
              <w:t>。</w:t>
            </w:r>
          </w:p>
        </w:tc>
        <w:tc>
          <w:tcPr>
            <w:tcW w:w="1526" w:type="pct"/>
            <w:vAlign w:val="center"/>
          </w:tcPr>
          <w:p w14:paraId="3FD825E3">
            <w:pPr>
              <w:keepNext/>
              <w:numPr>
                <w:ilvl w:val="0"/>
                <w:numId w:val="10"/>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安全意识（严格遵守有毒试剂操作规范，做好防护）</w:t>
            </w:r>
            <w:r>
              <w:rPr>
                <w:rFonts w:hint="eastAsia" w:ascii="宋体" w:hAnsi="宋体" w:eastAsia="宋体" w:cs="宋体"/>
                <w:sz w:val="21"/>
                <w:szCs w:val="21"/>
                <w:lang w:eastAsia="zh-CN"/>
              </w:rPr>
              <w:t>。</w:t>
            </w:r>
          </w:p>
          <w:p w14:paraId="45E071A5">
            <w:pPr>
              <w:keepNext/>
              <w:numPr>
                <w:ilvl w:val="0"/>
                <w:numId w:val="10"/>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环保理念（正确处理实验废弃物，减少环境污染）</w:t>
            </w:r>
            <w:r>
              <w:rPr>
                <w:rFonts w:hint="eastAsia" w:ascii="宋体" w:hAnsi="宋体" w:eastAsia="宋体" w:cs="宋体"/>
                <w:sz w:val="21"/>
                <w:szCs w:val="21"/>
                <w:lang w:eastAsia="zh-CN"/>
              </w:rPr>
              <w:t>。</w:t>
            </w:r>
          </w:p>
          <w:p w14:paraId="2F6CE6C7">
            <w:pPr>
              <w:keepNext/>
              <w:numPr>
                <w:ilvl w:val="0"/>
                <w:numId w:val="10"/>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严谨治学（细致操作每一步骤，避免核酸降解）</w:t>
            </w:r>
            <w:r>
              <w:rPr>
                <w:rFonts w:hint="eastAsia" w:ascii="宋体" w:hAnsi="宋体" w:eastAsia="宋体" w:cs="宋体"/>
                <w:sz w:val="21"/>
                <w:szCs w:val="21"/>
                <w:lang w:eastAsia="zh-CN"/>
              </w:rPr>
              <w:t>。</w:t>
            </w:r>
          </w:p>
        </w:tc>
        <w:tc>
          <w:tcPr>
            <w:tcW w:w="358" w:type="pct"/>
            <w:vAlign w:val="center"/>
          </w:tcPr>
          <w:p w14:paraId="07F323CB">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430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vAlign w:val="center"/>
          </w:tcPr>
          <w:p w14:paraId="5FB403C9">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实训三</w:t>
            </w:r>
          </w:p>
        </w:tc>
        <w:tc>
          <w:tcPr>
            <w:tcW w:w="774" w:type="pct"/>
            <w:vAlign w:val="center"/>
          </w:tcPr>
          <w:p w14:paraId="121D8ECA">
            <w:pPr>
              <w:keepNext/>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唾液淀粉酶的</w:t>
            </w:r>
            <w:r>
              <w:rPr>
                <w:rFonts w:hint="eastAsia" w:ascii="宋体" w:hAnsi="宋体" w:eastAsia="宋体" w:cs="宋体"/>
                <w:sz w:val="21"/>
                <w:szCs w:val="21"/>
                <w:lang w:val="en-US" w:eastAsia="zh-CN"/>
              </w:rPr>
              <w:t>特性试验</w:t>
            </w:r>
          </w:p>
        </w:tc>
        <w:tc>
          <w:tcPr>
            <w:tcW w:w="1138" w:type="pct"/>
            <w:vAlign w:val="center"/>
          </w:tcPr>
          <w:p w14:paraId="720AFBFB">
            <w:pPr>
              <w:keepNext/>
              <w:numPr>
                <w:ilvl w:val="0"/>
                <w:numId w:val="11"/>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酶的专一性、最适温度、最适pH的概念及生理意义</w:t>
            </w:r>
            <w:r>
              <w:rPr>
                <w:rFonts w:hint="eastAsia" w:ascii="宋体" w:hAnsi="宋体" w:eastAsia="宋体" w:cs="宋体"/>
                <w:sz w:val="21"/>
                <w:szCs w:val="21"/>
                <w:lang w:eastAsia="zh-CN"/>
              </w:rPr>
              <w:t>。</w:t>
            </w:r>
          </w:p>
          <w:p w14:paraId="6449C224">
            <w:pPr>
              <w:keepNext/>
              <w:numPr>
                <w:ilvl w:val="0"/>
                <w:numId w:val="11"/>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唾液淀粉酶的催化作用机制</w:t>
            </w:r>
            <w:r>
              <w:rPr>
                <w:rFonts w:hint="eastAsia" w:ascii="宋体" w:hAnsi="宋体" w:eastAsia="宋体" w:cs="宋体"/>
                <w:sz w:val="21"/>
                <w:szCs w:val="21"/>
                <w:lang w:eastAsia="zh-CN"/>
              </w:rPr>
              <w:t>。</w:t>
            </w:r>
          </w:p>
          <w:p w14:paraId="3DFC95A4">
            <w:pPr>
              <w:keepNext/>
              <w:numPr>
                <w:ilvl w:val="0"/>
                <w:numId w:val="11"/>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淀粉水解产物的鉴定方法（碘液显色法）</w:t>
            </w:r>
            <w:r>
              <w:rPr>
                <w:rFonts w:hint="eastAsia" w:ascii="宋体" w:hAnsi="宋体" w:eastAsia="宋体" w:cs="宋体"/>
                <w:sz w:val="21"/>
                <w:szCs w:val="21"/>
                <w:lang w:eastAsia="zh-CN"/>
              </w:rPr>
              <w:t>。</w:t>
            </w:r>
          </w:p>
          <w:p w14:paraId="7B598459">
            <w:pPr>
              <w:keepNext/>
              <w:numPr>
                <w:ilvl w:val="0"/>
                <w:numId w:val="11"/>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温度、pH对酶促反应速率的影响规律</w:t>
            </w:r>
            <w:r>
              <w:rPr>
                <w:rFonts w:hint="eastAsia" w:ascii="宋体" w:hAnsi="宋体" w:eastAsia="宋体" w:cs="宋体"/>
                <w:sz w:val="21"/>
                <w:szCs w:val="21"/>
                <w:lang w:eastAsia="zh-CN"/>
              </w:rPr>
              <w:t>。</w:t>
            </w:r>
          </w:p>
        </w:tc>
        <w:tc>
          <w:tcPr>
            <w:tcW w:w="644" w:type="pct"/>
            <w:vAlign w:val="center"/>
          </w:tcPr>
          <w:p w14:paraId="0D01D71E">
            <w:pPr>
              <w:keepNext/>
              <w:numPr>
                <w:ilvl w:val="0"/>
                <w:numId w:val="12"/>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能设计并实施酶的专一性、最适温度及最适pH的验证实验</w:t>
            </w:r>
            <w:r>
              <w:rPr>
                <w:rFonts w:hint="eastAsia" w:ascii="宋体" w:hAnsi="宋体" w:eastAsia="宋体" w:cs="宋体"/>
                <w:sz w:val="21"/>
                <w:szCs w:val="21"/>
                <w:lang w:eastAsia="zh-CN"/>
              </w:rPr>
              <w:t>。</w:t>
            </w:r>
          </w:p>
          <w:p w14:paraId="31523F79">
            <w:pPr>
              <w:keepNext/>
              <w:numPr>
                <w:ilvl w:val="0"/>
                <w:numId w:val="12"/>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能准确观察并记录不同条件下淀粉水解的实验现象</w:t>
            </w:r>
            <w:r>
              <w:rPr>
                <w:rFonts w:hint="eastAsia" w:ascii="宋体" w:hAnsi="宋体" w:eastAsia="宋体" w:cs="宋体"/>
                <w:sz w:val="21"/>
                <w:szCs w:val="21"/>
                <w:lang w:eastAsia="zh-CN"/>
              </w:rPr>
              <w:t>。</w:t>
            </w:r>
          </w:p>
          <w:p w14:paraId="6637AA15">
            <w:pPr>
              <w:keepNext/>
              <w:numPr>
                <w:ilvl w:val="0"/>
                <w:numId w:val="12"/>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能根据实验结果分析温度、pH对唾液淀粉酶活性的影响</w:t>
            </w:r>
            <w:r>
              <w:rPr>
                <w:rFonts w:hint="eastAsia" w:ascii="宋体" w:hAnsi="宋体" w:eastAsia="宋体" w:cs="宋体"/>
                <w:sz w:val="21"/>
                <w:szCs w:val="21"/>
                <w:lang w:eastAsia="zh-CN"/>
              </w:rPr>
              <w:t>。</w:t>
            </w:r>
          </w:p>
          <w:p w14:paraId="258963A7">
            <w:pPr>
              <w:keepNext/>
              <w:numPr>
                <w:ilvl w:val="0"/>
                <w:numId w:val="12"/>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能规范撰写实验报告，清晰呈现实验结论</w:t>
            </w:r>
            <w:r>
              <w:rPr>
                <w:rFonts w:hint="eastAsia" w:ascii="宋体" w:hAnsi="宋体" w:eastAsia="宋体" w:cs="宋体"/>
                <w:sz w:val="21"/>
                <w:szCs w:val="21"/>
                <w:lang w:eastAsia="zh-CN"/>
              </w:rPr>
              <w:t>。</w:t>
            </w:r>
          </w:p>
        </w:tc>
        <w:tc>
          <w:tcPr>
            <w:tcW w:w="1526" w:type="pct"/>
            <w:vAlign w:val="center"/>
          </w:tcPr>
          <w:p w14:paraId="23BB375A">
            <w:pPr>
              <w:keepNext/>
              <w:numPr>
                <w:ilvl w:val="0"/>
                <w:numId w:val="13"/>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创新思维（通过实验设计探索酶的特性，培养探究能力）</w:t>
            </w:r>
            <w:r>
              <w:rPr>
                <w:rFonts w:hint="eastAsia" w:ascii="宋体" w:hAnsi="宋体" w:eastAsia="宋体" w:cs="宋体"/>
                <w:sz w:val="21"/>
                <w:szCs w:val="21"/>
                <w:lang w:eastAsia="zh-CN"/>
              </w:rPr>
              <w:t>。</w:t>
            </w:r>
          </w:p>
          <w:p w14:paraId="3FC8CC4F">
            <w:pPr>
              <w:keepNext/>
              <w:numPr>
                <w:ilvl w:val="0"/>
                <w:numId w:val="13"/>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辩证思维（理解环境因素对酶活性的双重影响）</w:t>
            </w:r>
            <w:r>
              <w:rPr>
                <w:rFonts w:hint="eastAsia" w:ascii="宋体" w:hAnsi="宋体" w:eastAsia="宋体" w:cs="宋体"/>
                <w:sz w:val="21"/>
                <w:szCs w:val="21"/>
                <w:lang w:eastAsia="zh-CN"/>
              </w:rPr>
              <w:t>。</w:t>
            </w:r>
          </w:p>
          <w:p w14:paraId="25C7F20A">
            <w:pPr>
              <w:keepNext/>
              <w:numPr>
                <w:ilvl w:val="0"/>
                <w:numId w:val="13"/>
              </w:numPr>
              <w:snapToGrid w:val="0"/>
              <w:spacing w:before="120" w:after="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实践精神（将酶的特性知识与生活中的消化现象相联系）</w:t>
            </w:r>
            <w:r>
              <w:rPr>
                <w:rFonts w:hint="eastAsia" w:ascii="宋体" w:hAnsi="宋体" w:eastAsia="宋体" w:cs="宋体"/>
                <w:sz w:val="21"/>
                <w:szCs w:val="21"/>
                <w:lang w:eastAsia="zh-CN"/>
              </w:rPr>
              <w:t>。</w:t>
            </w:r>
          </w:p>
        </w:tc>
        <w:tc>
          <w:tcPr>
            <w:tcW w:w="358" w:type="pct"/>
            <w:vAlign w:val="center"/>
          </w:tcPr>
          <w:p w14:paraId="4A907C68">
            <w:pPr>
              <w:keepNext/>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D13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8" w:type="pct"/>
            <w:shd w:val="clear" w:color="auto" w:fill="auto"/>
            <w:vAlign w:val="center"/>
          </w:tcPr>
          <w:p w14:paraId="74B0F147">
            <w:pPr>
              <w:keepNext/>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实训四</w:t>
            </w:r>
          </w:p>
        </w:tc>
        <w:tc>
          <w:tcPr>
            <w:tcW w:w="774" w:type="pct"/>
            <w:shd w:val="clear" w:color="auto" w:fill="auto"/>
            <w:vAlign w:val="center"/>
          </w:tcPr>
          <w:p w14:paraId="2C982B56">
            <w:pPr>
              <w:keepNext/>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酮体的测定</w:t>
            </w:r>
          </w:p>
        </w:tc>
        <w:tc>
          <w:tcPr>
            <w:tcW w:w="1138" w:type="pct"/>
            <w:shd w:val="clear" w:color="auto" w:fill="auto"/>
            <w:vAlign w:val="center"/>
          </w:tcPr>
          <w:p w14:paraId="6C4F60DB">
            <w:pPr>
              <w:keepNext/>
              <w:numPr>
                <w:ilvl w:val="0"/>
                <w:numId w:val="14"/>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明确酮体的组成（乙酰乙酸、β-羟丁酸、丙酮）及动物体内代谢特点。</w:t>
            </w:r>
          </w:p>
          <w:p w14:paraId="60362499">
            <w:pPr>
              <w:keepNext/>
              <w:numPr>
                <w:ilvl w:val="0"/>
                <w:numId w:val="14"/>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酮体测定的核心方法（亚硝基铁氰化钠定性法）及反应原理。</w:t>
            </w:r>
          </w:p>
          <w:p w14:paraId="6873407C">
            <w:pPr>
              <w:keepNext/>
              <w:numPr>
                <w:ilvl w:val="0"/>
                <w:numId w:val="14"/>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动物酮体生成的调节机制（激素对脂类代谢的调控作用）。</w:t>
            </w:r>
          </w:p>
          <w:p w14:paraId="36C73A9A">
            <w:pPr>
              <w:keepNext/>
              <w:numPr>
                <w:ilvl w:val="0"/>
                <w:numId w:val="14"/>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酮体代谢异常与动物疾病（如反刍动物酮病、仔猪低血糖症）的关联及临床意义。</w:t>
            </w:r>
          </w:p>
        </w:tc>
        <w:tc>
          <w:tcPr>
            <w:tcW w:w="644" w:type="pct"/>
            <w:shd w:val="clear" w:color="auto" w:fill="auto"/>
            <w:vAlign w:val="center"/>
          </w:tcPr>
          <w:p w14:paraId="699199C5">
            <w:pPr>
              <w:keepNext/>
              <w:numPr>
                <w:ilvl w:val="0"/>
                <w:numId w:val="15"/>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能规范采集动物血液样品，完成离心、过滤等前处理操作。</w:t>
            </w:r>
          </w:p>
          <w:p w14:paraId="233E948C">
            <w:pPr>
              <w:keepNext/>
              <w:numPr>
                <w:ilvl w:val="0"/>
                <w:numId w:val="15"/>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能准确配制亚硝基铁氰化钠试剂、氢氧化钠溶液等实验试剂并检查试剂有效性。</w:t>
            </w:r>
          </w:p>
          <w:p w14:paraId="4B7E338F">
            <w:pPr>
              <w:keepNext/>
              <w:numPr>
                <w:ilvl w:val="0"/>
                <w:numId w:val="15"/>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能严格按照操作规程完成酮体定性测定，清晰观察并记录显色反应结果。</w:t>
            </w:r>
          </w:p>
          <w:p w14:paraId="35353F51">
            <w:pPr>
              <w:keepNext/>
              <w:numPr>
                <w:ilvl w:val="0"/>
                <w:numId w:val="15"/>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能根据实验结果判断样品中酮体含量是否异常，并结合理论知识初步分析原因。</w:t>
            </w:r>
          </w:p>
        </w:tc>
        <w:tc>
          <w:tcPr>
            <w:tcW w:w="1526" w:type="pct"/>
            <w:shd w:val="clear" w:color="auto" w:fill="auto"/>
            <w:vAlign w:val="center"/>
          </w:tcPr>
          <w:p w14:paraId="5944F41B">
            <w:pPr>
              <w:keepNext/>
              <w:numPr>
                <w:ilvl w:val="0"/>
                <w:numId w:val="16"/>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职业素养：将实训检测结果与动物临床健康评估相结合，树立服务畜牧养殖生产的专业意识。</w:t>
            </w:r>
          </w:p>
          <w:p w14:paraId="187611B3">
            <w:pPr>
              <w:keepNext/>
              <w:numPr>
                <w:ilvl w:val="0"/>
                <w:numId w:val="16"/>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科学严谨：严格遵守实验流程，规范操作实验器材，避免样品交叉污染导致结果偏差，重视实验数据的真实性。</w:t>
            </w:r>
          </w:p>
          <w:p w14:paraId="4D7915A3">
            <w:pPr>
              <w:keepNext/>
              <w:numPr>
                <w:ilvl w:val="0"/>
                <w:numId w:val="16"/>
              </w:numPr>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责任意识：认识酮体异常对动物生长发育及生产性能的影响，培养为养殖从业者提供准确检测依据的责任担当。</w:t>
            </w:r>
          </w:p>
        </w:tc>
        <w:tc>
          <w:tcPr>
            <w:tcW w:w="358" w:type="pct"/>
            <w:shd w:val="clear" w:color="auto" w:fill="auto"/>
            <w:vAlign w:val="center"/>
          </w:tcPr>
          <w:p w14:paraId="3A5B61B5">
            <w:pPr>
              <w:keepNext/>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r>
    </w:tbl>
    <w:p w14:paraId="5CFE4187">
      <w:pPr>
        <w:pStyle w:val="3"/>
        <w:bidi w:val="0"/>
        <w:rPr>
          <w:rFonts w:hint="eastAsia"/>
          <w:lang w:val="en-US" w:eastAsia="zh-CN"/>
        </w:rPr>
      </w:pPr>
      <w:r>
        <w:rPr>
          <w:rFonts w:hint="eastAsia"/>
          <w:lang w:val="en-US" w:eastAsia="zh-CN"/>
        </w:rPr>
        <w:t>六、课程考核与评价</w:t>
      </w:r>
    </w:p>
    <w:p w14:paraId="179E39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9EA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1D140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488C1C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C78F3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111366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1B4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2B268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2BBEA3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35F02E0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505A98FB">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6AD89D3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822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D5B3FC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AA7BA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2B2E785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6C179C8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0D79C84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029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9DEAA9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279F4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6" w:type="pct"/>
            <w:tcBorders>
              <w:left w:val="single" w:color="auto" w:sz="4" w:space="0"/>
              <w:right w:val="single" w:color="auto" w:sz="4" w:space="0"/>
            </w:tcBorders>
            <w:vAlign w:val="center"/>
          </w:tcPr>
          <w:p w14:paraId="5B22796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197466C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664E337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5B39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DCC3E4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6A99E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13E2EE0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719" w:type="pct"/>
            <w:tcBorders>
              <w:left w:val="single" w:color="auto" w:sz="4" w:space="0"/>
              <w:right w:val="single" w:color="auto" w:sz="4" w:space="0"/>
            </w:tcBorders>
            <w:vAlign w:val="center"/>
          </w:tcPr>
          <w:p w14:paraId="400C485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4A2907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5AA6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B7951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0974B45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75AA43F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5FEC44C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B64DAAC">
      <w:pPr>
        <w:pStyle w:val="3"/>
        <w:bidi w:val="0"/>
        <w:rPr>
          <w:rFonts w:hint="eastAsia"/>
          <w:lang w:val="en-US" w:eastAsia="zh-CN"/>
        </w:rPr>
      </w:pPr>
      <w:r>
        <w:rPr>
          <w:rFonts w:hint="eastAsia"/>
          <w:lang w:val="en-US" w:eastAsia="zh-CN"/>
        </w:rPr>
        <w:t>七、课程实施与保障</w:t>
      </w:r>
    </w:p>
    <w:p w14:paraId="598FDB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3CCBB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本课程采用探究式以及项目教学方法，选用线上线下混合式教学组织形式，采用信息化教学法、小组协作等教学方法，选用小组合作等学习方法,依托校内学习通等课程资源和教学平台实施教学。</w:t>
      </w:r>
    </w:p>
    <w:p w14:paraId="7E04BA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9A830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课程围绕“专业知识与思政教育水乳交融”构建课程思政价值链，从多维度融入思政元素。在精神传承上，结合科学实践传递科技创新精神与工匠精神：实践教学中，以规范操作仪器、保证数据真实、分析实验误差等要求，渗透工匠精神；理论教学通过解读核酸研究推动生命科学发展、DNA复制机制探究等内容，融入科技创新精神，同时借行业相关严谨治学案例，强化学生工匠精神。在行业与责任融入方面，结合产业行业发展形势政策，如将酶在动物生产、脂类代谢与饲料搭配的关联等知识与行业需求结合，增强学生学习动力；融入行业理念，像实验废弃物环保处理、有毒试剂安全操作，培养学生环保与安全意识，提升防御安全能力。在价值引领上，融合专业相关内容，如核酸技术防控动物疫病、基因表达调控助力育种等创造发明故事，培养学生“创新创业”意识；通过强调生物研究伦理底线、科技对动物养殖的意义，树立学生科技报国志向与职业责任意识。</w:t>
      </w:r>
    </w:p>
    <w:p w14:paraId="149D15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E86AA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EE887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专兼职教师团队13人，其中，专职教师11人，兼职教师2人，团队成员在学历、职称等方面形成梯队结构，知识结构合理，专业带头人与骨干教师具备职业实践经历，掌握现代教育理论，具有课程体系和项目化课程的开发能力。兼职教师来自学院建立的兼职教师资源库，分别是畜牧兽医行业内企业、兽药店、兽医院、兽药厂、饲料加工厂、养殖场、动物疫控中心、动物防疫检疫单位、农业科研单位等，具有丰富的生产实践经验，能满足本专业教学特别是生产性实训教学需要，并建立定期开展专业（学科）教研机制。</w:t>
      </w:r>
    </w:p>
    <w:p w14:paraId="07626F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377A4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实施课程教学，校内具备以下实训条件：多媒体专业教室、教学做一体化实训室和相关实训仪器。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943"/>
        <w:gridCol w:w="3735"/>
        <w:gridCol w:w="3329"/>
      </w:tblGrid>
      <w:tr w14:paraId="732A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428" w:type="pct"/>
            <w:noWrap w:val="0"/>
            <w:vAlign w:val="center"/>
          </w:tcPr>
          <w:p w14:paraId="411E44B4">
            <w:pPr>
              <w:pStyle w:val="9"/>
              <w:keepNext/>
              <w:widowControl/>
              <w:snapToGrid w:val="0"/>
              <w:ind w:left="0" w:leftChars="0" w:right="0" w:rightChars="0" w:firstLine="0" w:firstLineChars="0"/>
              <w:jc w:val="center"/>
              <w:rPr>
                <w:rFonts w:ascii="宋体" w:hAnsi="宋体" w:cs="宋体"/>
                <w:b/>
                <w:iCs/>
                <w:kern w:val="0"/>
                <w:sz w:val="21"/>
                <w:szCs w:val="21"/>
              </w:rPr>
            </w:pPr>
            <w:r>
              <w:rPr>
                <w:rFonts w:hint="eastAsia" w:ascii="宋体" w:hAnsi="宋体" w:cs="宋体"/>
                <w:b/>
                <w:iCs/>
                <w:kern w:val="0"/>
                <w:sz w:val="21"/>
                <w:szCs w:val="21"/>
              </w:rPr>
              <w:t>序号</w:t>
            </w:r>
          </w:p>
        </w:tc>
        <w:tc>
          <w:tcPr>
            <w:tcW w:w="986" w:type="pct"/>
            <w:noWrap w:val="0"/>
            <w:vAlign w:val="center"/>
          </w:tcPr>
          <w:p w14:paraId="55EA1019">
            <w:pPr>
              <w:pStyle w:val="9"/>
              <w:keepNext/>
              <w:widowControl/>
              <w:snapToGrid w:val="0"/>
              <w:ind w:left="0" w:leftChars="0" w:right="0" w:rightChars="0" w:firstLine="0" w:firstLineChars="0"/>
              <w:jc w:val="center"/>
              <w:rPr>
                <w:rFonts w:ascii="宋体" w:hAnsi="宋体" w:cs="宋体"/>
                <w:b/>
                <w:iCs/>
                <w:kern w:val="0"/>
                <w:sz w:val="21"/>
                <w:szCs w:val="21"/>
              </w:rPr>
            </w:pPr>
            <w:r>
              <w:rPr>
                <w:rFonts w:hint="eastAsia" w:ascii="宋体" w:hAnsi="宋体" w:cs="宋体"/>
                <w:b/>
                <w:iCs/>
                <w:kern w:val="0"/>
                <w:sz w:val="21"/>
                <w:szCs w:val="21"/>
              </w:rPr>
              <w:t>名称</w:t>
            </w:r>
          </w:p>
        </w:tc>
        <w:tc>
          <w:tcPr>
            <w:tcW w:w="1895" w:type="pct"/>
            <w:noWrap w:val="0"/>
            <w:vAlign w:val="center"/>
          </w:tcPr>
          <w:p w14:paraId="48EB7286">
            <w:pPr>
              <w:pStyle w:val="9"/>
              <w:keepNext/>
              <w:widowControl/>
              <w:snapToGrid w:val="0"/>
              <w:ind w:left="0" w:leftChars="0" w:right="0" w:rightChars="0" w:firstLine="0" w:firstLineChars="0"/>
              <w:jc w:val="center"/>
              <w:rPr>
                <w:rFonts w:ascii="宋体" w:hAnsi="宋体" w:cs="宋体"/>
                <w:b/>
                <w:iCs/>
                <w:kern w:val="0"/>
                <w:sz w:val="21"/>
                <w:szCs w:val="21"/>
              </w:rPr>
            </w:pPr>
            <w:r>
              <w:rPr>
                <w:rFonts w:hint="eastAsia" w:ascii="宋体" w:hAnsi="宋体" w:cs="宋体"/>
                <w:b/>
                <w:iCs/>
                <w:kern w:val="0"/>
                <w:sz w:val="21"/>
                <w:szCs w:val="21"/>
              </w:rPr>
              <w:t>基本配置要求</w:t>
            </w:r>
          </w:p>
        </w:tc>
        <w:tc>
          <w:tcPr>
            <w:tcW w:w="1689" w:type="pct"/>
            <w:noWrap w:val="0"/>
            <w:vAlign w:val="center"/>
          </w:tcPr>
          <w:p w14:paraId="4831A77E">
            <w:pPr>
              <w:pStyle w:val="9"/>
              <w:keepNext/>
              <w:widowControl/>
              <w:snapToGrid w:val="0"/>
              <w:ind w:left="0" w:leftChars="0" w:right="0" w:rightChars="0" w:firstLine="0" w:firstLineChars="0"/>
              <w:jc w:val="center"/>
              <w:rPr>
                <w:rFonts w:ascii="宋体" w:hAnsi="宋体" w:cs="宋体"/>
                <w:b/>
                <w:iCs/>
                <w:kern w:val="0"/>
                <w:sz w:val="21"/>
                <w:szCs w:val="21"/>
              </w:rPr>
            </w:pPr>
            <w:r>
              <w:rPr>
                <w:rFonts w:hint="eastAsia" w:ascii="宋体" w:hAnsi="宋体" w:cs="宋体"/>
                <w:b/>
                <w:iCs/>
                <w:kern w:val="0"/>
                <w:sz w:val="21"/>
                <w:szCs w:val="21"/>
              </w:rPr>
              <w:t>功能说明</w:t>
            </w:r>
          </w:p>
        </w:tc>
      </w:tr>
      <w:tr w14:paraId="5C9B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2FF3EABD">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w:t>
            </w:r>
          </w:p>
        </w:tc>
        <w:tc>
          <w:tcPr>
            <w:tcW w:w="986" w:type="pct"/>
            <w:noWrap w:val="0"/>
            <w:vAlign w:val="center"/>
          </w:tcPr>
          <w:p w14:paraId="07C3C3CF">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动物微生物检测实训室</w:t>
            </w:r>
          </w:p>
        </w:tc>
        <w:tc>
          <w:tcPr>
            <w:tcW w:w="1895" w:type="pct"/>
            <w:noWrap w:val="0"/>
            <w:vAlign w:val="center"/>
          </w:tcPr>
          <w:p w14:paraId="6004208D">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提供微生物检测设备、进行微生物检验观察、培养</w:t>
            </w:r>
          </w:p>
        </w:tc>
        <w:tc>
          <w:tcPr>
            <w:tcW w:w="1689" w:type="pct"/>
            <w:noWrap w:val="0"/>
            <w:vAlign w:val="center"/>
          </w:tcPr>
          <w:p w14:paraId="087CB147">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微生物的分离、培养技术</w:t>
            </w:r>
          </w:p>
        </w:tc>
      </w:tr>
      <w:tr w14:paraId="1F6F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72CBA717">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2</w:t>
            </w:r>
          </w:p>
        </w:tc>
        <w:tc>
          <w:tcPr>
            <w:tcW w:w="986" w:type="pct"/>
            <w:noWrap w:val="0"/>
            <w:vAlign w:val="center"/>
          </w:tcPr>
          <w:p w14:paraId="70AAB88E">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动物解剖实训室</w:t>
            </w:r>
          </w:p>
        </w:tc>
        <w:tc>
          <w:tcPr>
            <w:tcW w:w="1895" w:type="pct"/>
            <w:noWrap w:val="0"/>
            <w:vAlign w:val="center"/>
          </w:tcPr>
          <w:p w14:paraId="2E83D4E2">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提供动物标本进行动物的组织器官识别</w:t>
            </w:r>
          </w:p>
        </w:tc>
        <w:tc>
          <w:tcPr>
            <w:tcW w:w="1689" w:type="pct"/>
            <w:noWrap w:val="0"/>
            <w:vAlign w:val="center"/>
          </w:tcPr>
          <w:p w14:paraId="50EACE54">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识别动物解剖器官及组织结构</w:t>
            </w:r>
          </w:p>
        </w:tc>
      </w:tr>
      <w:tr w14:paraId="1A4F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4E361571">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3</w:t>
            </w:r>
          </w:p>
        </w:tc>
        <w:tc>
          <w:tcPr>
            <w:tcW w:w="986" w:type="pct"/>
            <w:noWrap w:val="0"/>
            <w:vAlign w:val="center"/>
          </w:tcPr>
          <w:p w14:paraId="054162F8">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动物病理实训室</w:t>
            </w:r>
          </w:p>
        </w:tc>
        <w:tc>
          <w:tcPr>
            <w:tcW w:w="1895" w:type="pct"/>
            <w:noWrap w:val="0"/>
            <w:vAlign w:val="center"/>
          </w:tcPr>
          <w:p w14:paraId="4B217182">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提供动物组织病理标本、组织切片设备</w:t>
            </w:r>
          </w:p>
        </w:tc>
        <w:tc>
          <w:tcPr>
            <w:tcW w:w="1689" w:type="pct"/>
            <w:noWrap w:val="0"/>
            <w:vAlign w:val="center"/>
          </w:tcPr>
          <w:p w14:paraId="289068E6">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识别病理特征、制备病理组织切片技术</w:t>
            </w:r>
          </w:p>
        </w:tc>
      </w:tr>
      <w:tr w14:paraId="20B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8" w:type="pct"/>
            <w:noWrap w:val="0"/>
            <w:vAlign w:val="center"/>
          </w:tcPr>
          <w:p w14:paraId="7AF16C09">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4</w:t>
            </w:r>
          </w:p>
        </w:tc>
        <w:tc>
          <w:tcPr>
            <w:tcW w:w="986" w:type="pct"/>
            <w:noWrap w:val="0"/>
            <w:vAlign w:val="center"/>
          </w:tcPr>
          <w:p w14:paraId="53C8ABCA">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动物药理实训室</w:t>
            </w:r>
          </w:p>
        </w:tc>
        <w:tc>
          <w:tcPr>
            <w:tcW w:w="1895" w:type="pct"/>
            <w:noWrap w:val="0"/>
            <w:vAlign w:val="center"/>
          </w:tcPr>
          <w:p w14:paraId="36DAE14E">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提供药品检测及制药设备</w:t>
            </w:r>
          </w:p>
        </w:tc>
        <w:tc>
          <w:tcPr>
            <w:tcW w:w="1689" w:type="pct"/>
            <w:noWrap w:val="0"/>
            <w:vAlign w:val="center"/>
          </w:tcPr>
          <w:p w14:paraId="0E8EC5DD">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检测和制备药品技术</w:t>
            </w:r>
          </w:p>
        </w:tc>
      </w:tr>
      <w:tr w14:paraId="5E64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8" w:type="pct"/>
            <w:noWrap w:val="0"/>
            <w:vAlign w:val="center"/>
          </w:tcPr>
          <w:p w14:paraId="77E4D2AB">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5</w:t>
            </w:r>
          </w:p>
        </w:tc>
        <w:tc>
          <w:tcPr>
            <w:tcW w:w="986" w:type="pct"/>
            <w:noWrap w:val="0"/>
            <w:vAlign w:val="center"/>
          </w:tcPr>
          <w:p w14:paraId="1055A52D">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动物传染病实训室</w:t>
            </w:r>
          </w:p>
        </w:tc>
        <w:tc>
          <w:tcPr>
            <w:tcW w:w="1895" w:type="pct"/>
            <w:noWrap w:val="0"/>
            <w:vAlign w:val="center"/>
          </w:tcPr>
          <w:p w14:paraId="11989326">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提供传染病病料检测设备</w:t>
            </w:r>
          </w:p>
        </w:tc>
        <w:tc>
          <w:tcPr>
            <w:tcW w:w="1689" w:type="pct"/>
            <w:noWrap w:val="0"/>
            <w:vAlign w:val="center"/>
          </w:tcPr>
          <w:p w14:paraId="79718808">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传染病样本检测技术</w:t>
            </w:r>
          </w:p>
        </w:tc>
      </w:tr>
      <w:tr w14:paraId="33AD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07FADF1B">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6</w:t>
            </w:r>
          </w:p>
        </w:tc>
        <w:tc>
          <w:tcPr>
            <w:tcW w:w="986" w:type="pct"/>
            <w:noWrap w:val="0"/>
            <w:vAlign w:val="center"/>
          </w:tcPr>
          <w:p w14:paraId="16070484">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动物寄生虫实训室</w:t>
            </w:r>
          </w:p>
        </w:tc>
        <w:tc>
          <w:tcPr>
            <w:tcW w:w="1895" w:type="pct"/>
            <w:noWrap w:val="0"/>
            <w:vAlign w:val="center"/>
          </w:tcPr>
          <w:p w14:paraId="63E69385">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提供动物寄生虫分离设备</w:t>
            </w:r>
          </w:p>
        </w:tc>
        <w:tc>
          <w:tcPr>
            <w:tcW w:w="1689" w:type="pct"/>
            <w:noWrap w:val="0"/>
            <w:vAlign w:val="center"/>
          </w:tcPr>
          <w:p w14:paraId="4DF4E668">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分离及检测寄生虫虫卵虫体技术训练</w:t>
            </w:r>
          </w:p>
        </w:tc>
      </w:tr>
      <w:tr w14:paraId="5E29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74C22884">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7</w:t>
            </w:r>
          </w:p>
        </w:tc>
        <w:tc>
          <w:tcPr>
            <w:tcW w:w="986" w:type="pct"/>
            <w:noWrap w:val="0"/>
            <w:vAlign w:val="center"/>
          </w:tcPr>
          <w:p w14:paraId="3929CAAA">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动物外科手术实训室</w:t>
            </w:r>
          </w:p>
        </w:tc>
        <w:tc>
          <w:tcPr>
            <w:tcW w:w="1895" w:type="pct"/>
            <w:noWrap w:val="0"/>
            <w:vAlign w:val="center"/>
          </w:tcPr>
          <w:p w14:paraId="2251344A">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提供外科手术设备</w:t>
            </w:r>
          </w:p>
        </w:tc>
        <w:tc>
          <w:tcPr>
            <w:tcW w:w="1689" w:type="pct"/>
            <w:noWrap w:val="0"/>
            <w:vAlign w:val="center"/>
          </w:tcPr>
          <w:p w14:paraId="363F9391">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进行动物手术训练</w:t>
            </w:r>
          </w:p>
        </w:tc>
      </w:tr>
      <w:tr w14:paraId="2B80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2C87ED2B">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8</w:t>
            </w:r>
          </w:p>
        </w:tc>
        <w:tc>
          <w:tcPr>
            <w:tcW w:w="986" w:type="pct"/>
            <w:noWrap w:val="0"/>
            <w:vAlign w:val="center"/>
          </w:tcPr>
          <w:p w14:paraId="5C43E544">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显微镜实训室</w:t>
            </w:r>
          </w:p>
        </w:tc>
        <w:tc>
          <w:tcPr>
            <w:tcW w:w="1895" w:type="pct"/>
            <w:noWrap w:val="0"/>
            <w:vAlign w:val="center"/>
          </w:tcPr>
          <w:p w14:paraId="7F34BBC5">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光学显微镜、显微镜电子显示设备</w:t>
            </w:r>
          </w:p>
        </w:tc>
        <w:tc>
          <w:tcPr>
            <w:tcW w:w="1689" w:type="pct"/>
            <w:noWrap w:val="0"/>
            <w:vAlign w:val="center"/>
          </w:tcPr>
          <w:p w14:paraId="05039F5C">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显微镜观察技术、设备使用和维护训练</w:t>
            </w:r>
          </w:p>
        </w:tc>
      </w:tr>
      <w:tr w14:paraId="2FB4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13B7D7ED">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9</w:t>
            </w:r>
          </w:p>
        </w:tc>
        <w:tc>
          <w:tcPr>
            <w:tcW w:w="986" w:type="pct"/>
            <w:noWrap w:val="0"/>
            <w:vAlign w:val="center"/>
          </w:tcPr>
          <w:p w14:paraId="5A5C6690">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动物营养与饲料实训室</w:t>
            </w:r>
          </w:p>
        </w:tc>
        <w:tc>
          <w:tcPr>
            <w:tcW w:w="1895" w:type="pct"/>
            <w:noWrap w:val="0"/>
            <w:vAlign w:val="center"/>
          </w:tcPr>
          <w:p w14:paraId="629CEED0">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饲料的营养成分检测设备、饲料原料检测设备</w:t>
            </w:r>
          </w:p>
        </w:tc>
        <w:tc>
          <w:tcPr>
            <w:tcW w:w="1689" w:type="pct"/>
            <w:noWrap w:val="0"/>
            <w:vAlign w:val="center"/>
          </w:tcPr>
          <w:p w14:paraId="684917B5">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动物饲料的成分指标检测技术</w:t>
            </w:r>
          </w:p>
        </w:tc>
      </w:tr>
      <w:tr w14:paraId="5EFE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8" w:type="pct"/>
            <w:noWrap w:val="0"/>
            <w:vAlign w:val="center"/>
          </w:tcPr>
          <w:p w14:paraId="76293271">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10</w:t>
            </w:r>
          </w:p>
        </w:tc>
        <w:tc>
          <w:tcPr>
            <w:tcW w:w="986" w:type="pct"/>
            <w:noWrap w:val="0"/>
            <w:vAlign w:val="center"/>
          </w:tcPr>
          <w:p w14:paraId="56462C7C">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动物繁育实训室</w:t>
            </w:r>
          </w:p>
        </w:tc>
        <w:tc>
          <w:tcPr>
            <w:tcW w:w="1895" w:type="pct"/>
            <w:noWrap w:val="0"/>
            <w:vAlign w:val="center"/>
          </w:tcPr>
          <w:p w14:paraId="45AF6928">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动物繁育及检测设备</w:t>
            </w:r>
          </w:p>
        </w:tc>
        <w:tc>
          <w:tcPr>
            <w:tcW w:w="1689" w:type="pct"/>
            <w:noWrap w:val="0"/>
            <w:vAlign w:val="center"/>
          </w:tcPr>
          <w:p w14:paraId="3D7C52EC">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繁殖育种及繁殖疾病检测技术</w:t>
            </w:r>
          </w:p>
        </w:tc>
      </w:tr>
      <w:tr w14:paraId="5E9F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2F39D50F">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11</w:t>
            </w:r>
          </w:p>
        </w:tc>
        <w:tc>
          <w:tcPr>
            <w:tcW w:w="986" w:type="pct"/>
            <w:noWrap w:val="0"/>
            <w:vAlign w:val="center"/>
          </w:tcPr>
          <w:p w14:paraId="22FB5F8B">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动物临床诊断实训室</w:t>
            </w:r>
          </w:p>
        </w:tc>
        <w:tc>
          <w:tcPr>
            <w:tcW w:w="1895" w:type="pct"/>
            <w:noWrap w:val="0"/>
            <w:vAlign w:val="center"/>
          </w:tcPr>
          <w:p w14:paraId="651B4BA4">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动物的一般疾病检验检测设备</w:t>
            </w:r>
          </w:p>
        </w:tc>
        <w:tc>
          <w:tcPr>
            <w:tcW w:w="1689" w:type="pct"/>
            <w:noWrap w:val="0"/>
            <w:vAlign w:val="center"/>
          </w:tcPr>
          <w:p w14:paraId="75664F73">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血液、尿液、超声等技术检测和设备使用</w:t>
            </w:r>
          </w:p>
        </w:tc>
      </w:tr>
      <w:tr w14:paraId="7E6F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2213ACB6">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12</w:t>
            </w:r>
          </w:p>
        </w:tc>
        <w:tc>
          <w:tcPr>
            <w:tcW w:w="986" w:type="pct"/>
            <w:noWrap w:val="0"/>
            <w:vAlign w:val="center"/>
          </w:tcPr>
          <w:p w14:paraId="732E3370">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动物虚拟解剖实训室</w:t>
            </w:r>
          </w:p>
        </w:tc>
        <w:tc>
          <w:tcPr>
            <w:tcW w:w="1895" w:type="pct"/>
            <w:noWrap w:val="0"/>
            <w:vAlign w:val="center"/>
          </w:tcPr>
          <w:p w14:paraId="25574E24">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动物解剖结构虚拟仿真成像系统设备</w:t>
            </w:r>
          </w:p>
        </w:tc>
        <w:tc>
          <w:tcPr>
            <w:tcW w:w="1689" w:type="pct"/>
            <w:noWrap w:val="0"/>
            <w:vAlign w:val="center"/>
          </w:tcPr>
          <w:p w14:paraId="77C89DD6">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虚拟仿真软件成像进行动物组织器官的识别</w:t>
            </w:r>
          </w:p>
        </w:tc>
      </w:tr>
      <w:tr w14:paraId="2FD5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28" w:type="pct"/>
            <w:noWrap w:val="0"/>
            <w:vAlign w:val="center"/>
          </w:tcPr>
          <w:p w14:paraId="214D7EB5">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13</w:t>
            </w:r>
          </w:p>
        </w:tc>
        <w:tc>
          <w:tcPr>
            <w:tcW w:w="986" w:type="pct"/>
            <w:noWrap w:val="0"/>
            <w:vAlign w:val="center"/>
          </w:tcPr>
          <w:p w14:paraId="445B399A">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禽类孵化室、出雏室</w:t>
            </w:r>
          </w:p>
        </w:tc>
        <w:tc>
          <w:tcPr>
            <w:tcW w:w="1895" w:type="pct"/>
            <w:noWrap w:val="0"/>
            <w:vAlign w:val="center"/>
          </w:tcPr>
          <w:p w14:paraId="742C0FBA">
            <w:pPr>
              <w:pStyle w:val="9"/>
              <w:keepNext/>
              <w:widowControl/>
              <w:tabs>
                <w:tab w:val="left" w:pos="680"/>
              </w:tabs>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禽类的孵化及出雏设备</w:t>
            </w:r>
          </w:p>
        </w:tc>
        <w:tc>
          <w:tcPr>
            <w:tcW w:w="1689" w:type="pct"/>
            <w:noWrap w:val="0"/>
            <w:vAlign w:val="center"/>
          </w:tcPr>
          <w:p w14:paraId="705CE28B">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禽类的孵化和出雏技术的训练</w:t>
            </w:r>
          </w:p>
        </w:tc>
      </w:tr>
      <w:tr w14:paraId="7E19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28" w:type="pct"/>
            <w:noWrap w:val="0"/>
            <w:vAlign w:val="center"/>
          </w:tcPr>
          <w:p w14:paraId="618C91EF">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14</w:t>
            </w:r>
          </w:p>
        </w:tc>
        <w:tc>
          <w:tcPr>
            <w:tcW w:w="986" w:type="pct"/>
            <w:noWrap w:val="0"/>
            <w:vAlign w:val="center"/>
          </w:tcPr>
          <w:p w14:paraId="50081EC3">
            <w:pPr>
              <w:pStyle w:val="9"/>
              <w:keepNext/>
              <w:widowControl/>
              <w:snapToGrid w:val="0"/>
              <w:spacing w:line="240" w:lineRule="auto"/>
              <w:ind w:left="0" w:leftChars="0" w:right="0" w:rightChars="0" w:firstLine="0" w:firstLineChars="0"/>
              <w:jc w:val="center"/>
              <w:rPr>
                <w:rFonts w:ascii="宋体" w:hAnsi="宋体" w:cs="宋体"/>
                <w:iCs/>
                <w:kern w:val="0"/>
                <w:sz w:val="21"/>
                <w:szCs w:val="21"/>
              </w:rPr>
            </w:pPr>
            <w:r>
              <w:rPr>
                <w:rFonts w:hint="eastAsia" w:ascii="宋体" w:hAnsi="宋体" w:cs="宋体"/>
                <w:iCs/>
                <w:kern w:val="0"/>
                <w:sz w:val="21"/>
                <w:szCs w:val="21"/>
              </w:rPr>
              <w:t>动物标本室</w:t>
            </w:r>
          </w:p>
        </w:tc>
        <w:tc>
          <w:tcPr>
            <w:tcW w:w="1895" w:type="pct"/>
            <w:noWrap w:val="0"/>
            <w:vAlign w:val="center"/>
          </w:tcPr>
          <w:p w14:paraId="0B24F8FC">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动物组织和解剖结构标本</w:t>
            </w:r>
          </w:p>
        </w:tc>
        <w:tc>
          <w:tcPr>
            <w:tcW w:w="1689" w:type="pct"/>
            <w:noWrap w:val="0"/>
            <w:vAlign w:val="center"/>
          </w:tcPr>
          <w:p w14:paraId="27381251">
            <w:pPr>
              <w:pStyle w:val="9"/>
              <w:keepNext/>
              <w:widowControl/>
              <w:snapToGrid w:val="0"/>
              <w:spacing w:line="240" w:lineRule="auto"/>
              <w:ind w:left="0" w:leftChars="0" w:right="0" w:rightChars="0" w:firstLine="0" w:firstLineChars="0"/>
              <w:jc w:val="left"/>
              <w:rPr>
                <w:rFonts w:ascii="宋体" w:hAnsi="宋体" w:cs="宋体"/>
                <w:iCs/>
                <w:kern w:val="0"/>
                <w:sz w:val="21"/>
                <w:szCs w:val="21"/>
              </w:rPr>
            </w:pPr>
            <w:r>
              <w:rPr>
                <w:rFonts w:hint="eastAsia" w:ascii="宋体" w:hAnsi="宋体" w:cs="宋体"/>
                <w:iCs/>
                <w:kern w:val="0"/>
                <w:sz w:val="21"/>
                <w:szCs w:val="21"/>
              </w:rPr>
              <w:t>组织器官解剖识别能力</w:t>
            </w:r>
          </w:p>
        </w:tc>
      </w:tr>
    </w:tbl>
    <w:p w14:paraId="00DF17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4921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专业教室一般配备黑（白）板、多媒体计算机、投影设备、音响设备，互联网接入或Wi-Fi环境。具备集教学、科研、培训、职业技能鉴定于一体的实训基地，为本学科进行实践教学、科研、为企业提供技术服务打造一个良好的平台。</w:t>
      </w:r>
    </w:p>
    <w:p w14:paraId="1F89C50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（2）数字教学资源：配备与本学科有关的音视频素材、教学课件、数字化教学案例库、虚拟仿真软件、数字教材等专业教学资源库，应种类丰富、形式多样、使用便捷、动态更新，能满足教学要求。</w:t>
      </w:r>
    </w:p>
    <w:p w14:paraId="59043BB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BFA426F">
      <w:pPr>
        <w:pStyle w:val="2"/>
        <w:bidi w:val="0"/>
        <w:rPr>
          <w:rFonts w:hint="eastAsia"/>
          <w:lang w:val="en-US" w:eastAsia="zh-CN"/>
        </w:rPr>
      </w:pPr>
      <w:bookmarkStart w:id="24" w:name="_Toc1257"/>
      <w:bookmarkStart w:id="25" w:name="_Toc21679"/>
      <w:r>
        <w:rPr>
          <w:rFonts w:hint="eastAsia"/>
          <w:lang w:val="en-US" w:eastAsia="zh-CN"/>
        </w:rPr>
        <w:t>《动物药理》课程标准</w:t>
      </w:r>
      <w:bookmarkEnd w:id="24"/>
      <w:bookmarkEnd w:id="25"/>
    </w:p>
    <w:p w14:paraId="15B5580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7D34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83E001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B16639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动物药理</w:t>
            </w:r>
          </w:p>
        </w:tc>
        <w:tc>
          <w:tcPr>
            <w:tcW w:w="975" w:type="dxa"/>
            <w:tcBorders>
              <w:top w:val="single" w:color="auto" w:sz="4" w:space="0"/>
              <w:left w:val="single" w:color="auto" w:sz="4" w:space="0"/>
              <w:bottom w:val="single" w:color="auto" w:sz="4" w:space="0"/>
              <w:right w:val="single" w:color="auto" w:sz="4" w:space="0"/>
            </w:tcBorders>
            <w:vAlign w:val="center"/>
          </w:tcPr>
          <w:p w14:paraId="2E1FDE7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59C3486">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xcxm24006</w:t>
            </w:r>
          </w:p>
        </w:tc>
      </w:tr>
      <w:tr w14:paraId="2FB5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45CC29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268452D">
            <w:pPr>
              <w:jc w:val="center"/>
              <w:rPr>
                <w:rFonts w:hint="default" w:eastAsiaTheme="minorEastAsia"/>
                <w:lang w:val="en-US" w:eastAsia="zh-CN"/>
              </w:rPr>
            </w:pPr>
            <w:r>
              <w:rPr>
                <w:rFonts w:hint="eastAsia"/>
                <w:lang w:val="en-US" w:eastAsia="zh-CN"/>
              </w:rPr>
              <w:t>64学时</w:t>
            </w:r>
          </w:p>
        </w:tc>
        <w:tc>
          <w:tcPr>
            <w:tcW w:w="1595" w:type="dxa"/>
            <w:tcBorders>
              <w:top w:val="single" w:color="auto" w:sz="4" w:space="0"/>
              <w:left w:val="single" w:color="auto" w:sz="4" w:space="0"/>
              <w:bottom w:val="single" w:color="auto" w:sz="4" w:space="0"/>
              <w:right w:val="single" w:color="auto" w:sz="4" w:space="0"/>
            </w:tcBorders>
          </w:tcPr>
          <w:p w14:paraId="68FDAA2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5000EB9">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0E13C1B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C180F6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2862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E249C1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1E675C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4246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DEBBA2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C6C483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8360C3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C423E2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C2785C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06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05E27D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08734DEC">
            <w:pPr>
              <w:pStyle w:val="16"/>
              <w:spacing w:before="0" w:beforeAutospacing="0" w:after="0" w:afterAutospacing="0"/>
              <w:ind w:left="-105" w:leftChars="-50" w:right="-105" w:rightChars="-50"/>
              <w:jc w:val="center"/>
              <w:rPr>
                <w:rFonts w:ascii="Arial" w:hAnsi="Arial" w:eastAsia="宋体" w:cs="Arial"/>
                <w:color w:val="auto"/>
              </w:rPr>
            </w:pPr>
          </w:p>
        </w:tc>
      </w:tr>
      <w:tr w14:paraId="1581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439BA7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FA04CDC">
            <w:pPr>
              <w:pStyle w:val="16"/>
              <w:spacing w:before="0" w:beforeAutospacing="0" w:after="0" w:afterAutospacing="0"/>
              <w:ind w:left="-105" w:leftChars="-50" w:right="-105" w:rightChars="-50"/>
              <w:jc w:val="center"/>
              <w:rPr>
                <w:rFonts w:ascii="Arial" w:hAnsi="Arial" w:eastAsia="宋体" w:cs="Arial"/>
                <w:color w:val="auto"/>
              </w:rPr>
            </w:pPr>
          </w:p>
        </w:tc>
      </w:tr>
      <w:tr w14:paraId="1591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17CD92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BEE834E">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动物药理</w:t>
            </w:r>
            <w:r>
              <w:rPr>
                <w:rFonts w:ascii="Arial" w:hAnsi="Arial" w:eastAsia="宋体" w:cs="Arial"/>
              </w:rPr>
              <w:t>》（</w:t>
            </w:r>
            <w:r>
              <w:rPr>
                <w:rFonts w:hint="eastAsia" w:ascii="Arial" w:hAnsi="Arial" w:eastAsia="宋体" w:cs="Arial"/>
                <w:lang w:val="en-US" w:eastAsia="zh-CN"/>
              </w:rPr>
              <w:t>赵明珍</w:t>
            </w:r>
            <w:r>
              <w:rPr>
                <w:rFonts w:hint="eastAsia" w:ascii="Arial" w:hAnsi="Arial" w:eastAsia="宋体" w:cs="Arial"/>
              </w:rPr>
              <w:t>，</w:t>
            </w:r>
            <w:r>
              <w:rPr>
                <w:rFonts w:hint="eastAsia" w:ascii="Arial" w:hAnsi="Arial" w:eastAsia="宋体" w:cs="Arial"/>
                <w:lang w:val="en-US" w:eastAsia="zh-CN"/>
              </w:rPr>
              <w:t>中国农业出版社，2025年1月，ISBN 978-7-109-26204-1）</w:t>
            </w:r>
          </w:p>
        </w:tc>
      </w:tr>
      <w:tr w14:paraId="523E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80917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8A50015">
            <w:pPr>
              <w:widowControl/>
              <w:jc w:val="left"/>
              <w:rPr>
                <w:rFonts w:hint="eastAsia" w:eastAsiaTheme="minorEastAsia"/>
                <w:lang w:val="en-US" w:eastAsia="zh-CN"/>
              </w:rPr>
            </w:pPr>
            <w:r>
              <w:rPr>
                <w:rFonts w:hint="eastAsia"/>
                <w:lang w:val="en-US" w:eastAsia="zh-CN"/>
              </w:rPr>
              <w:t>卞璐</w:t>
            </w:r>
          </w:p>
        </w:tc>
        <w:tc>
          <w:tcPr>
            <w:tcW w:w="975" w:type="dxa"/>
            <w:tcBorders>
              <w:top w:val="single" w:color="auto" w:sz="4" w:space="0"/>
              <w:left w:val="single" w:color="auto" w:sz="4" w:space="0"/>
              <w:bottom w:val="single" w:color="auto" w:sz="4" w:space="0"/>
              <w:right w:val="single" w:color="auto" w:sz="4" w:space="0"/>
            </w:tcBorders>
            <w:vAlign w:val="center"/>
          </w:tcPr>
          <w:p w14:paraId="2FB491E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DC186D4">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12A1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FFA361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E37D182">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075E0E9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FBE70E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69EF99F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4F80805">
      <w:pPr>
        <w:pStyle w:val="3"/>
        <w:bidi w:val="0"/>
        <w:rPr>
          <w:rFonts w:hint="eastAsia"/>
          <w:lang w:val="en-US" w:eastAsia="zh-CN"/>
        </w:rPr>
      </w:pPr>
      <w:r>
        <w:rPr>
          <w:rFonts w:hint="eastAsia"/>
          <w:lang w:val="en-US" w:eastAsia="zh-CN"/>
        </w:rPr>
        <w:t>二、课程定位</w:t>
      </w:r>
    </w:p>
    <w:p w14:paraId="3081E2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《动物解剖生理》</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动物诊疗、畜禽养殖、兽药生产与营销、动物防疫检疫</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严谨负责、关爱动物、合规执业的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动物常用药物的合理选用、规范给药、不良反应处置、用药方案优化的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《动物内科病》、《动物外科及产科》</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66322523">
      <w:pPr>
        <w:pStyle w:val="3"/>
        <w:bidi w:val="0"/>
        <w:rPr>
          <w:rFonts w:hint="eastAsia"/>
          <w:lang w:val="en-US" w:eastAsia="zh-CN"/>
        </w:rPr>
      </w:pPr>
      <w:r>
        <w:rPr>
          <w:rFonts w:hint="eastAsia"/>
          <w:lang w:val="en-US" w:eastAsia="zh-CN"/>
        </w:rPr>
        <w:t>三、课程设计思路</w:t>
      </w:r>
    </w:p>
    <w:p w14:paraId="7934CA7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sz w:val="24"/>
          <w:szCs w:val="24"/>
        </w:rPr>
      </w:pPr>
      <w:r>
        <w:rPr>
          <w:rFonts w:ascii="宋体" w:hAnsi="宋体" w:eastAsia="宋体" w:cs="宋体"/>
          <w:kern w:val="0"/>
          <w:sz w:val="24"/>
          <w:szCs w:val="24"/>
          <w:lang w:val="en-US" w:eastAsia="zh-CN" w:bidi="ar"/>
        </w:rPr>
        <w:t>首先，根据畜牧兽医类专业人才培养方案、畜禽养殖与动物诊疗行业需求及相关教材，确定教学核心内容。从动物机体生理机能与药物作用机制出发，系统梳理抗菌药、抗病毒药、驱虫药、解热镇痛药等核心药物的分类、药理作用、适应症、用法用量及不良反应，夯实学生药物应用的基础理论；然后，紧跟畜牧兽医行业发展趋势，掌握规模化养殖中疫病防控的新药物、动物福利导向下的用药新模式、绿色养殖要求下的无残留用药新业态，确保教学内容与行业前沿接轨；最后，聚焦临床诊疗实际，培养学生根据动物病种、生理阶段、养殖场景进行药物合理配伍、精准给药的综合应用能力。</w:t>
      </w:r>
    </w:p>
    <w:p w14:paraId="5010808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sz w:val="24"/>
          <w:szCs w:val="24"/>
        </w:rPr>
      </w:pPr>
      <w:r>
        <w:rPr>
          <w:rFonts w:ascii="宋体" w:hAnsi="宋体" w:eastAsia="宋体" w:cs="宋体"/>
          <w:kern w:val="0"/>
          <w:sz w:val="24"/>
          <w:szCs w:val="24"/>
          <w:lang w:val="en-US" w:eastAsia="zh-CN" w:bidi="ar"/>
        </w:rPr>
        <w:t>关于教学形式，理论部分主要通过多媒体课件（结合药物作用动画、临床病例视频）、实物教具（药物标本、剂型模型）等课堂授课方式，帮助学生理解抽象药理知识；实践部分主要通过实验室药物效价测定、动物医院病例诊疗模拟等方式，强化理论与实践的结合。</w:t>
      </w:r>
    </w:p>
    <w:p w14:paraId="442DF1E1">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sz w:val="24"/>
          <w:szCs w:val="24"/>
        </w:rPr>
      </w:pPr>
      <w:r>
        <w:rPr>
          <w:rFonts w:ascii="宋体" w:hAnsi="宋体" w:eastAsia="宋体" w:cs="宋体"/>
          <w:kern w:val="0"/>
          <w:sz w:val="24"/>
          <w:szCs w:val="24"/>
          <w:lang w:val="en-US" w:eastAsia="zh-CN" w:bidi="ar"/>
        </w:rPr>
        <w:t>基于 OBE 教学理念，构建 “动物健康守护”“绿色养殖发展” 的课程思政价值链，将中国兽医药物研发创新故事引入课堂，融入行业发展史教育：结合我国兽医科学家攻克疫病防控药物难题、行业兽医坚守一线保障畜禽健康的典型经历，传递严谨求实的科学精神、精益求精的工匠精神与责任担当的职业素养，促使专业知识与思政教育水乳交融。</w:t>
      </w:r>
    </w:p>
    <w:p w14:paraId="55DDA2A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sz w:val="24"/>
          <w:szCs w:val="24"/>
        </w:rPr>
      </w:pPr>
      <w:r>
        <w:rPr>
          <w:rFonts w:ascii="宋体" w:hAnsi="宋体" w:eastAsia="宋体" w:cs="宋体"/>
          <w:kern w:val="0"/>
          <w:sz w:val="24"/>
          <w:szCs w:val="24"/>
          <w:lang w:val="en-US" w:eastAsia="zh-CN" w:bidi="ar"/>
        </w:rPr>
        <w:t>重视传统课堂教学与现代教学手段的结合，构筑全方位多视角的教学模式。创新采用 “分层次（基础层：理论认知、提高层：案例分析、精进层：临床实操）、课内外相结合” 的模块化教学模式，改革评价方式，强化过程考核（课堂互动、实验报告、病例分析、实操表现），建立 “理论成绩 + 实践技能 + 职业素养” 的多维度考核评价体系，注重知识传授、素质培养与创新能力提升的一体化培养。</w:t>
      </w:r>
    </w:p>
    <w:p w14:paraId="2D2D46C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sz w:val="24"/>
          <w:szCs w:val="24"/>
        </w:rPr>
      </w:pPr>
      <w:r>
        <w:rPr>
          <w:rFonts w:ascii="宋体" w:hAnsi="宋体" w:eastAsia="宋体" w:cs="宋体"/>
          <w:kern w:val="0"/>
          <w:sz w:val="24"/>
          <w:szCs w:val="24"/>
          <w:lang w:val="en-US" w:eastAsia="zh-CN" w:bidi="ar"/>
        </w:rPr>
        <w:t>为适应畜牧兽医行业规模化、绿色化、智能化发展趋势，紧紧围绕国家乡村振兴战略、畜禽养殖业高质量发展要求及区域养殖产业需求，精准对接动物疫病防治员、执业兽医等岗位新需求</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培养具有多样化知识结构、创新思维、市场竞争力的高素质复合型畜牧兽医技能人才</w:t>
      </w:r>
      <w:r>
        <w:rPr>
          <w:rFonts w:hint="eastAsia" w:ascii="宋体" w:hAnsi="宋体" w:eastAsia="宋体" w:cs="宋体"/>
          <w:kern w:val="0"/>
          <w:sz w:val="24"/>
          <w:szCs w:val="24"/>
          <w:lang w:val="en-US" w:eastAsia="zh-CN" w:bidi="ar"/>
        </w:rPr>
        <w:t>。</w:t>
      </w:r>
    </w:p>
    <w:p w14:paraId="401CFE5A">
      <w:pPr>
        <w:pStyle w:val="3"/>
        <w:bidi w:val="0"/>
        <w:rPr>
          <w:rFonts w:hint="eastAsia"/>
          <w:lang w:val="en-US" w:eastAsia="zh-CN"/>
        </w:rPr>
      </w:pPr>
      <w:r>
        <w:rPr>
          <w:rFonts w:hint="eastAsia"/>
          <w:lang w:val="en-US" w:eastAsia="zh-CN"/>
        </w:rPr>
        <w:t>四、课程目标</w:t>
      </w:r>
    </w:p>
    <w:p w14:paraId="7F4E57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90738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 xml:space="preserve">了解动物药理的学科定位、发展脉络及兽药行业的政策监管框架，能说出学科在畜牧兽医专业体系中的作用； </w:t>
      </w:r>
    </w:p>
    <w:p w14:paraId="47AF577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 熟悉药物在动物机体内的吸收、分布、代谢、排泄过程，能再现影响药物作用的核心因素（如动物种属、生理状态）； </w:t>
      </w:r>
    </w:p>
    <w:p w14:paraId="144CB0D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 掌握消化系统药物（健胃药、泻药等）的作用特点，能说出不同类型健胃药的适用养殖场景； </w:t>
      </w:r>
    </w:p>
    <w:p w14:paraId="511817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 掌握抗微生物药物（抗生素、消毒药等）的作用机制，能再现常用抗生素的抗菌谱范围； </w:t>
      </w:r>
    </w:p>
    <w:p w14:paraId="148455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5. 熟悉生殖系统药物（子宫收缩药、性激素等）的临床用途，能说出不同生殖调控药物的使用时机； </w:t>
      </w:r>
    </w:p>
    <w:p w14:paraId="249EFC2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 掌握兽医</w:t>
      </w:r>
      <w:r>
        <w:rPr>
          <w:rFonts w:hint="eastAsia" w:asciiTheme="minorEastAsia" w:hAnsiTheme="minorEastAsia" w:cstheme="minorEastAsia"/>
          <w:sz w:val="24"/>
          <w:szCs w:val="24"/>
          <w:lang w:val="en-US" w:eastAsia="zh-CN"/>
        </w:rPr>
        <w:t>处</w:t>
      </w:r>
      <w:r>
        <w:rPr>
          <w:rFonts w:hint="eastAsia" w:asciiTheme="minorEastAsia" w:hAnsiTheme="minorEastAsia" w:eastAsiaTheme="minorEastAsia" w:cstheme="minorEastAsia"/>
          <w:sz w:val="24"/>
          <w:szCs w:val="24"/>
          <w:lang w:val="en-US" w:eastAsia="zh-CN"/>
        </w:rPr>
        <w:t>方的组成结构与书写规范，能再现处方中用药注意事项的识别方法。</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6DE1FB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 xml:space="preserve">精通不同类别兽药的核心作用特点，能独立完成 “动物病症 - 适配药物” 的精准匹配； </w:t>
      </w:r>
    </w:p>
    <w:p w14:paraId="2CDED4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2.善用注射器、灌药器等给药工具，能规范完成不同给药方式（注射、混饮）的实操操作；</w:t>
      </w:r>
    </w:p>
    <w:p w14:paraId="4719E2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3.善用兽药不良反应处置流程，能独立识别常见不良反应症状并制定初步干预方案；</w:t>
      </w:r>
    </w:p>
    <w:p w14:paraId="7A1E55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4.精通抗微生物药的联用原则，能结合动物感染类型，设计科学的药物联用与轮换方案。</w:t>
      </w:r>
    </w:p>
    <w:p w14:paraId="7BF210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DE724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 xml:space="preserve">培养学生严谨负责的执业素养，在兽药选用、剂量计算中做到精准无误，践行 “安全用药” 的职业底线； </w:t>
      </w:r>
    </w:p>
    <w:p w14:paraId="5506DB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2.培养学生团队协作的沟通能力，能在用药方案研讨中有效分享观点、协同完成任务； </w:t>
      </w:r>
    </w:p>
    <w:p w14:paraId="6A853D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培养学生合规执业的法治意识，主动遵守《兽药管理条例》等行业规范，做到依法用药；</w:t>
      </w:r>
    </w:p>
    <w:p w14:paraId="67E9F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4.培养学生灵活应变的实践思维，能结合不同养殖场景调整用药方案，适配生产实际需求； </w:t>
      </w:r>
    </w:p>
    <w:p w14:paraId="11D1FA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5.培养学生关爱动物的职业伦理，在给药操作中注重减少动物应激，践行动物福利理念；</w:t>
      </w:r>
    </w:p>
    <w:p w14:paraId="2531E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6.培养学生服务产业的使命意识，理解动物药理对健康养殖、食品安全的价值，主动对接行业需求。</w:t>
      </w:r>
    </w:p>
    <w:p w14:paraId="65DD87B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58867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1.职业道德：树立 “合规用药、关爱动物、执业尽责” 的职业理念，严格遵守兽药行业执业规范与动物诊疗伦理准则，践行 “以动物健康为核心” 的从业准则，培养诚信守法、尊重生命、对养殖生产与公共卫生负责的职业操守；</w:t>
      </w:r>
    </w:p>
    <w:p w14:paraId="5327E9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2.工匠精神：在兽药使用、动物药理实践中，养成严谨细致、精益求精的工作态度，锤炼精准用药、科学配伍的专业技能，以专注、执着的作风保障动物诊疗与用药安全，传承 “匠心护佑动物健康” 的行业精神。</w:t>
      </w:r>
    </w:p>
    <w:p w14:paraId="568A18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3.法治意识：增强兽药监管法治观念，自觉遵守《兽药管理条例》《动物防疫法》等行业法规，做到依法选药、合规用药、规范处置废弃兽药；</w:t>
      </w:r>
    </w:p>
    <w:p w14:paraId="3E1FF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 “守护动物健康、护航食品安全” 的责任担当，理解动物药理在畜禽健康养殖、公共卫生安全中的作用，树立服务乡村振兴、保障畜牧业发展的职业信念；</w:t>
      </w:r>
    </w:p>
    <w:p w14:paraId="0783D6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家国情怀：结合我国兽医药自主研发成果（如本土驱虫药、抗病毒兽药）、动物疫病防控中的用药攻坚案例，激发民族自豪感，培养 “科技兴牧、守护民生” 的使命意识；</w:t>
      </w:r>
    </w:p>
    <w:p w14:paraId="7BE317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创新意识：鼓励探索兽药合理配伍、绿色用药等实用技术，结合兽药研发创新故事，培养 “提质增效、安全环保” 的执业创新思维；</w:t>
      </w:r>
    </w:p>
    <w:p w14:paraId="2F6D0D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 “绿色养殖、安全用药” 的生态理念，在用药实践中注重减少兽药残留、避免环境污染，践行动物福利与生态保护的双重责任。</w:t>
      </w:r>
    </w:p>
    <w:p w14:paraId="7169E6EB">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425"/>
        <w:gridCol w:w="1973"/>
        <w:gridCol w:w="2641"/>
        <w:gridCol w:w="1723"/>
        <w:gridCol w:w="696"/>
      </w:tblGrid>
      <w:tr w14:paraId="1088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06" w:type="pct"/>
          </w:tcPr>
          <w:p w14:paraId="405D38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23" w:type="pct"/>
          </w:tcPr>
          <w:p w14:paraId="0D4752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001" w:type="pct"/>
            <w:vAlign w:val="center"/>
          </w:tcPr>
          <w:p w14:paraId="2A2786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340" w:type="pct"/>
            <w:vAlign w:val="center"/>
          </w:tcPr>
          <w:p w14:paraId="4A925B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74" w:type="pct"/>
            <w:vAlign w:val="center"/>
          </w:tcPr>
          <w:p w14:paraId="418918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53" w:type="pct"/>
            <w:vAlign w:val="center"/>
          </w:tcPr>
          <w:p w14:paraId="64AAB0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1DD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Align w:val="center"/>
          </w:tcPr>
          <w:p w14:paraId="0FE2470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第一篇动物药理基础知识</w:t>
            </w:r>
          </w:p>
        </w:tc>
        <w:tc>
          <w:tcPr>
            <w:tcW w:w="723" w:type="pct"/>
            <w:vAlign w:val="center"/>
          </w:tcPr>
          <w:p w14:paraId="5EE42EB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动物药理基础知识</w:t>
            </w:r>
          </w:p>
        </w:tc>
        <w:tc>
          <w:tcPr>
            <w:tcW w:w="1001" w:type="pct"/>
            <w:vAlign w:val="center"/>
          </w:tcPr>
          <w:p w14:paraId="2F9DA6F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1.动物药理的性质、内容及发展简史</w:t>
            </w:r>
          </w:p>
          <w:p w14:paraId="0E096FF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2.药物的一般知识</w:t>
            </w:r>
          </w:p>
          <w:p w14:paraId="1EA2E44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3.药物对动物机体的作用</w:t>
            </w:r>
          </w:p>
          <w:p w14:paraId="2DAC761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4.机体对药物的作用</w:t>
            </w:r>
          </w:p>
          <w:p w14:paraId="64B32DA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5.影响药物作用的因素与合理用药</w:t>
            </w:r>
          </w:p>
          <w:p w14:paraId="3FAACBA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6.兽医处方</w:t>
            </w:r>
          </w:p>
        </w:tc>
        <w:tc>
          <w:tcPr>
            <w:tcW w:w="1340" w:type="pct"/>
            <w:vAlign w:val="center"/>
          </w:tcPr>
          <w:p w14:paraId="5C9E8C04">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1.能准确区分不同药物的类别、作用特点，完成药物信息的归纳整理 。</w:t>
            </w:r>
          </w:p>
          <w:p w14:paraId="12FC89BE">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2.能规范解读兽医嘱方，识别处方中的用药注意事项。</w:t>
            </w:r>
          </w:p>
          <w:p w14:paraId="0190FED1">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3.能结合动物机体状态，分析影响药物作用的关键因素并提出合理用药建议。</w:t>
            </w:r>
          </w:p>
        </w:tc>
        <w:tc>
          <w:tcPr>
            <w:tcW w:w="874" w:type="pct"/>
            <w:vAlign w:val="center"/>
          </w:tcPr>
          <w:p w14:paraId="3AABF14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科学规范使用兽药，以防药物对或人体产生损伤，成为毒物</w:t>
            </w:r>
            <w:r>
              <w:rPr>
                <w:rFonts w:hint="eastAsia" w:asciiTheme="minorEastAsia" w:hAnsiTheme="minorEastAsia" w:cstheme="minorEastAsia"/>
                <w:sz w:val="21"/>
                <w:szCs w:val="21"/>
                <w:lang w:val="en-US" w:eastAsia="zh-CN"/>
              </w:rPr>
              <w:t>。</w:t>
            </w:r>
          </w:p>
        </w:tc>
        <w:tc>
          <w:tcPr>
            <w:tcW w:w="353" w:type="pct"/>
            <w:vAlign w:val="center"/>
          </w:tcPr>
          <w:p w14:paraId="570E62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64DB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vAlign w:val="center"/>
          </w:tcPr>
          <w:p w14:paraId="2D26FC5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第二篇抗病原体药物</w:t>
            </w:r>
          </w:p>
        </w:tc>
        <w:tc>
          <w:tcPr>
            <w:tcW w:w="723" w:type="pct"/>
            <w:vAlign w:val="center"/>
          </w:tcPr>
          <w:p w14:paraId="5DA66AE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模块一抗微生物药物</w:t>
            </w:r>
          </w:p>
        </w:tc>
        <w:tc>
          <w:tcPr>
            <w:tcW w:w="1001" w:type="pct"/>
            <w:vAlign w:val="center"/>
          </w:tcPr>
          <w:p w14:paraId="5FADF35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1.防腐消毒药</w:t>
            </w:r>
          </w:p>
          <w:p w14:paraId="6F4D128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2.抗生素</w:t>
            </w:r>
          </w:p>
          <w:p w14:paraId="2C3B80B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3.化学合成抗菌药</w:t>
            </w:r>
          </w:p>
          <w:p w14:paraId="4D8F8D0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4.抗真菌药</w:t>
            </w:r>
          </w:p>
          <w:p w14:paraId="76CC1F1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5.抗微生物药的合理应用</w:t>
            </w:r>
          </w:p>
        </w:tc>
        <w:tc>
          <w:tcPr>
            <w:tcW w:w="1340" w:type="pct"/>
          </w:tcPr>
          <w:p w14:paraId="1096BF8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1.能根据感染类型，合理选择防腐消毒药、抗生素等抗微生物药物。</w:t>
            </w:r>
          </w:p>
          <w:p w14:paraId="760FEA1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2.能正确操作抗微生物药物的给药方式（如混饮、注射等），把控用药剂量。</w:t>
            </w:r>
          </w:p>
          <w:p w14:paraId="5E66F531">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 能识别细菌耐药性的潜在风险，制定减少耐药性的用药方案。</w:t>
            </w:r>
          </w:p>
        </w:tc>
        <w:tc>
          <w:tcPr>
            <w:tcW w:w="874" w:type="pct"/>
            <w:vAlign w:val="center"/>
          </w:tcPr>
          <w:p w14:paraId="304F233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1.弗莱明发现青霉素</w:t>
            </w:r>
          </w:p>
          <w:p w14:paraId="6AD75B8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2.细菌耐药性的产生对机体的影响</w:t>
            </w:r>
          </w:p>
        </w:tc>
        <w:tc>
          <w:tcPr>
            <w:tcW w:w="353" w:type="pct"/>
            <w:vAlign w:val="center"/>
          </w:tcPr>
          <w:p w14:paraId="307067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r>
      <w:tr w14:paraId="7997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3A40128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6D74DF3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模块二抗寄生虫药物</w:t>
            </w:r>
          </w:p>
        </w:tc>
        <w:tc>
          <w:tcPr>
            <w:tcW w:w="1001" w:type="pct"/>
            <w:vAlign w:val="center"/>
          </w:tcPr>
          <w:p w14:paraId="1174428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1.抗蠕虫药</w:t>
            </w:r>
          </w:p>
          <w:p w14:paraId="717FCB8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2.抗原虫药</w:t>
            </w:r>
          </w:p>
          <w:p w14:paraId="474025A0">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3.杀虫药</w:t>
            </w:r>
          </w:p>
        </w:tc>
        <w:tc>
          <w:tcPr>
            <w:tcW w:w="1340" w:type="pct"/>
          </w:tcPr>
          <w:p w14:paraId="08E3DCC0">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1.能根据寄生虫类型（蠕虫、原虫、昆虫），精准选择对应抗寄生虫药物。 </w:t>
            </w:r>
          </w:p>
          <w:p w14:paraId="4A758EB2">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2.能观察动物用药后的反应，及时识别并处理药物不良反应。</w:t>
            </w:r>
          </w:p>
          <w:p w14:paraId="7A18F5D1">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3.能结合血吸虫病等案例，落实 “生命至上” 的用药伦理，规范防控寄生虫病。</w:t>
            </w:r>
          </w:p>
        </w:tc>
        <w:tc>
          <w:tcPr>
            <w:tcW w:w="874" w:type="pct"/>
          </w:tcPr>
          <w:p w14:paraId="7910056B">
            <w:pPr>
              <w:keepNext w:val="0"/>
              <w:keepLines w:val="0"/>
              <w:pageBreakBefore w:val="0"/>
              <w:widowControl w:val="0"/>
              <w:numPr>
                <w:ilvl w:val="0"/>
                <w:numId w:val="17"/>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血吸虫病：体现了生命至上，人民至上的国家理念和中华民族的优秀传统</w:t>
            </w:r>
          </w:p>
          <w:p w14:paraId="189A562B">
            <w:pPr>
              <w:keepNext w:val="0"/>
              <w:keepLines w:val="0"/>
              <w:pageBreakBefore w:val="0"/>
              <w:widowControl w:val="0"/>
              <w:numPr>
                <w:ilvl w:val="0"/>
                <w:numId w:val="17"/>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青蒿琥酯：屠呦呦发现青蒿素</w:t>
            </w:r>
          </w:p>
        </w:tc>
        <w:tc>
          <w:tcPr>
            <w:tcW w:w="353" w:type="pct"/>
            <w:vAlign w:val="center"/>
          </w:tcPr>
          <w:p w14:paraId="766D02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5431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vAlign w:val="center"/>
          </w:tcPr>
          <w:p w14:paraId="6794E74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第三篇神经系统药物</w:t>
            </w:r>
          </w:p>
        </w:tc>
        <w:tc>
          <w:tcPr>
            <w:tcW w:w="723" w:type="pct"/>
            <w:vAlign w:val="center"/>
          </w:tcPr>
          <w:p w14:paraId="3AC0632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模块一中枢神经系统药物</w:t>
            </w:r>
          </w:p>
        </w:tc>
        <w:tc>
          <w:tcPr>
            <w:tcW w:w="1001" w:type="pct"/>
          </w:tcPr>
          <w:p w14:paraId="3A69AC7C">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1.中枢神经系统药物</w:t>
            </w:r>
          </w:p>
          <w:p w14:paraId="7E28A392">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2.镇静、催眠与抗惊厥药</w:t>
            </w:r>
          </w:p>
          <w:p w14:paraId="7455640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3.麻醉性镇痛药</w:t>
            </w:r>
          </w:p>
          <w:p w14:paraId="23E024D4">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4.全身麻醉药</w:t>
            </w:r>
          </w:p>
          <w:p w14:paraId="5BB72A89">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5.化学保定药</w:t>
            </w:r>
          </w:p>
        </w:tc>
        <w:tc>
          <w:tcPr>
            <w:tcW w:w="1340" w:type="pct"/>
            <w:vAlign w:val="center"/>
          </w:tcPr>
          <w:p w14:paraId="5F1436D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default" w:ascii="宋体" w:hAnsi="宋体" w:eastAsia="宋体" w:cs="宋体"/>
                <w:sz w:val="21"/>
                <w:szCs w:val="21"/>
                <w:lang w:val="en-US" w:eastAsia="zh-CN"/>
              </w:rPr>
              <w:t>能根据动物病症（如兴奋、惊厥等），准确选择中枢神经系统药物</w:t>
            </w:r>
            <w:r>
              <w:rPr>
                <w:rFonts w:hint="eastAsia" w:ascii="宋体" w:hAnsi="宋体" w:eastAsia="宋体" w:cs="宋体"/>
                <w:sz w:val="21"/>
                <w:szCs w:val="21"/>
                <w:lang w:val="en-US" w:eastAsia="zh-CN"/>
              </w:rPr>
              <w:t>。</w:t>
            </w:r>
          </w:p>
          <w:p w14:paraId="5C81D61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2.能正确使用化学保定药，保障保定过程中动物的安全与福利</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 xml:space="preserve"> </w:t>
            </w:r>
          </w:p>
        </w:tc>
        <w:tc>
          <w:tcPr>
            <w:tcW w:w="874" w:type="pct"/>
            <w:vAlign w:val="center"/>
          </w:tcPr>
          <w:p w14:paraId="5DA2E45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吗啡的不良反应：珍爱生命 远离毒品</w:t>
            </w:r>
          </w:p>
        </w:tc>
        <w:tc>
          <w:tcPr>
            <w:tcW w:w="353" w:type="pct"/>
            <w:vAlign w:val="center"/>
          </w:tcPr>
          <w:p w14:paraId="436597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78CF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23C6116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36E1B68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模块二外周神经系统药物</w:t>
            </w:r>
          </w:p>
        </w:tc>
        <w:tc>
          <w:tcPr>
            <w:tcW w:w="1001" w:type="pct"/>
            <w:vAlign w:val="center"/>
          </w:tcPr>
          <w:p w14:paraId="1C24216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1.局部麻醉药</w:t>
            </w:r>
          </w:p>
          <w:p w14:paraId="03049173">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2.传出神经药</w:t>
            </w:r>
          </w:p>
        </w:tc>
        <w:tc>
          <w:tcPr>
            <w:tcW w:w="1340" w:type="pct"/>
            <w:vAlign w:val="center"/>
          </w:tcPr>
          <w:p w14:paraId="1A2FEA4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1.能根据手术需求，合理选择局部麻醉药并规范完成局部麻醉操作（如浸润麻醉、表面麻醉）。 </w:t>
            </w:r>
          </w:p>
          <w:p w14:paraId="040D969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2.能区分不同传出神经药的作用类型，结合动物病症选择适配药物。 </w:t>
            </w:r>
          </w:p>
        </w:tc>
        <w:tc>
          <w:tcPr>
            <w:tcW w:w="874" w:type="pct"/>
            <w:vAlign w:val="center"/>
          </w:tcPr>
          <w:p w14:paraId="4626504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sz w:val="21"/>
                <w:szCs w:val="21"/>
              </w:rPr>
            </w:pPr>
            <w:r>
              <w:rPr>
                <w:rFonts w:hint="eastAsia"/>
                <w:sz w:val="21"/>
                <w:szCs w:val="21"/>
              </w:rPr>
              <w:t>1.遵纪守法 守护食品安全——严禁违规添加”瘦肉精</w:t>
            </w:r>
          </w:p>
          <w:p w14:paraId="1F972C9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sz w:val="21"/>
                <w:szCs w:val="21"/>
              </w:rPr>
              <w:t>2.“双刃剑”麻黄碱</w:t>
            </w:r>
          </w:p>
        </w:tc>
        <w:tc>
          <w:tcPr>
            <w:tcW w:w="353" w:type="pct"/>
            <w:vAlign w:val="center"/>
          </w:tcPr>
          <w:p w14:paraId="387854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4E5E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vAlign w:val="center"/>
          </w:tcPr>
          <w:p w14:paraId="3915C73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第四篇内脏系统药物</w:t>
            </w:r>
          </w:p>
        </w:tc>
        <w:tc>
          <w:tcPr>
            <w:tcW w:w="723" w:type="pct"/>
            <w:vAlign w:val="center"/>
          </w:tcPr>
          <w:p w14:paraId="7DD4434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模块一消化系统药物</w:t>
            </w:r>
          </w:p>
        </w:tc>
        <w:tc>
          <w:tcPr>
            <w:tcW w:w="1001" w:type="pct"/>
            <w:vAlign w:val="center"/>
          </w:tcPr>
          <w:p w14:paraId="78FECB7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1.健胃药与助消化药</w:t>
            </w:r>
          </w:p>
          <w:p w14:paraId="722ED42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2.制酵药与消沫药</w:t>
            </w:r>
          </w:p>
          <w:p w14:paraId="34DA65B2">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3.瘤胃兴奋药</w:t>
            </w:r>
          </w:p>
          <w:p w14:paraId="1230D4B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4.泻药与止泻药</w:t>
            </w:r>
          </w:p>
        </w:tc>
        <w:tc>
          <w:tcPr>
            <w:tcW w:w="1340" w:type="pct"/>
            <w:vAlign w:val="center"/>
          </w:tcPr>
          <w:p w14:paraId="159C31B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能根据动物消化障碍类型（积食、胀气等），精准选择健胃药、制酵药等适配药物</w:t>
            </w:r>
          </w:p>
        </w:tc>
        <w:tc>
          <w:tcPr>
            <w:tcW w:w="874" w:type="pct"/>
            <w:vAlign w:val="center"/>
          </w:tcPr>
          <w:p w14:paraId="0031743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ascii="Segoe UI" w:hAnsi="Segoe UI" w:eastAsia="Segoe UI" w:cs="Segoe UI"/>
                <w:i w:val="0"/>
                <w:iCs w:val="0"/>
                <w:caps w:val="0"/>
                <w:spacing w:val="0"/>
                <w:sz w:val="21"/>
                <w:szCs w:val="21"/>
                <w:shd w:val="clear" w:fill="FFFFFF"/>
              </w:rPr>
              <w:t>用药精准是对生命的负责”，培养严谨的职业态度</w:t>
            </w:r>
          </w:p>
        </w:tc>
        <w:tc>
          <w:tcPr>
            <w:tcW w:w="353" w:type="pct"/>
            <w:vAlign w:val="center"/>
          </w:tcPr>
          <w:p w14:paraId="60FC35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FD9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525BD62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449E342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模块二呼吸系统药物</w:t>
            </w:r>
          </w:p>
        </w:tc>
        <w:tc>
          <w:tcPr>
            <w:tcW w:w="1001" w:type="pct"/>
            <w:vAlign w:val="center"/>
          </w:tcPr>
          <w:p w14:paraId="4676EDB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1.祛痰药</w:t>
            </w:r>
          </w:p>
          <w:p w14:paraId="68E9552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2.镇咳药</w:t>
            </w:r>
          </w:p>
          <w:p w14:paraId="1FD60026">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3.平喘药</w:t>
            </w:r>
          </w:p>
          <w:p w14:paraId="77273C68">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4.祛痰、镇咳与平喘药的合理选用</w:t>
            </w:r>
          </w:p>
        </w:tc>
        <w:tc>
          <w:tcPr>
            <w:tcW w:w="1340" w:type="pct"/>
            <w:vAlign w:val="center"/>
          </w:tcPr>
          <w:p w14:paraId="7A305B1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能依据动物呼吸道症状（咳嗽、气喘等），合理搭配祛痰、镇咳、平喘药</w:t>
            </w:r>
          </w:p>
        </w:tc>
        <w:tc>
          <w:tcPr>
            <w:tcW w:w="874" w:type="pct"/>
            <w:vAlign w:val="center"/>
          </w:tcPr>
          <w:p w14:paraId="2274635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 “用药方案的权衡”，培养 “以动物福利为导向” 的责任意识，同时树立 “遵循临床规范” 的法治观念。</w:t>
            </w:r>
          </w:p>
        </w:tc>
        <w:tc>
          <w:tcPr>
            <w:tcW w:w="353" w:type="pct"/>
            <w:vAlign w:val="center"/>
          </w:tcPr>
          <w:p w14:paraId="17B0BC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150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38B8CDC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2584C44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模块三泌尿系统药物</w:t>
            </w:r>
          </w:p>
        </w:tc>
        <w:tc>
          <w:tcPr>
            <w:tcW w:w="1001" w:type="pct"/>
            <w:vAlign w:val="center"/>
          </w:tcPr>
          <w:p w14:paraId="2F6453E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1.利尿药</w:t>
            </w:r>
          </w:p>
          <w:p w14:paraId="175DC01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2.脱水药</w:t>
            </w:r>
          </w:p>
          <w:p w14:paraId="3921133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3.利尿药与脱水药的合理选用</w:t>
            </w:r>
          </w:p>
        </w:tc>
        <w:tc>
          <w:tcPr>
            <w:tcW w:w="1340" w:type="pct"/>
            <w:vAlign w:val="center"/>
          </w:tcPr>
          <w:p w14:paraId="624BF83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能根据动物水肿、排尿异常等症状，选择适配的利尿药或脱水药</w:t>
            </w:r>
          </w:p>
        </w:tc>
        <w:tc>
          <w:tcPr>
            <w:tcW w:w="874" w:type="pct"/>
            <w:vAlign w:val="center"/>
          </w:tcPr>
          <w:p w14:paraId="1DD7E0A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结合 “药物副作用的规避”，培养 “严谨细致、对结果负责” 的职业素养。</w:t>
            </w:r>
          </w:p>
        </w:tc>
        <w:tc>
          <w:tcPr>
            <w:tcW w:w="353" w:type="pct"/>
            <w:vAlign w:val="center"/>
          </w:tcPr>
          <w:p w14:paraId="1319DB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37A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5B6E7D3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64BC93B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模块四生殖系统药物</w:t>
            </w:r>
          </w:p>
        </w:tc>
        <w:tc>
          <w:tcPr>
            <w:tcW w:w="1001" w:type="pct"/>
            <w:vAlign w:val="center"/>
          </w:tcPr>
          <w:p w14:paraId="0764FAA2">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1.子宫收缩药</w:t>
            </w:r>
          </w:p>
          <w:p w14:paraId="41F3DB80">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2.性激素</w:t>
            </w:r>
          </w:p>
          <w:p w14:paraId="1C2309B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3.促性腺激素</w:t>
            </w:r>
          </w:p>
          <w:p w14:paraId="7CE451B2">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4.前列腺素</w:t>
            </w:r>
          </w:p>
        </w:tc>
        <w:tc>
          <w:tcPr>
            <w:tcW w:w="1340" w:type="pct"/>
            <w:vAlign w:val="center"/>
          </w:tcPr>
          <w:p w14:paraId="4E73704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能依据动物繁殖需求（如引产、发情调控），选择适配的子宫收缩药、性激素等</w:t>
            </w:r>
          </w:p>
        </w:tc>
        <w:tc>
          <w:tcPr>
            <w:tcW w:w="874" w:type="pct"/>
            <w:vAlign w:val="center"/>
          </w:tcPr>
          <w:p w14:paraId="3794DE7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围绕 “生殖调控的伦理边界”，强调 “尊重动物繁殖规律、不盲目干预” 的伦理观。</w:t>
            </w:r>
          </w:p>
        </w:tc>
        <w:tc>
          <w:tcPr>
            <w:tcW w:w="353" w:type="pct"/>
            <w:vAlign w:val="center"/>
          </w:tcPr>
          <w:p w14:paraId="0A0EB1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D84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270242B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7329265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模块五血液循环系统药物</w:t>
            </w:r>
          </w:p>
        </w:tc>
        <w:tc>
          <w:tcPr>
            <w:tcW w:w="1001" w:type="pct"/>
            <w:vAlign w:val="center"/>
          </w:tcPr>
          <w:p w14:paraId="0CFEDFB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1.强心药</w:t>
            </w:r>
          </w:p>
          <w:p w14:paraId="3F12F835">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2.止血药</w:t>
            </w:r>
          </w:p>
          <w:p w14:paraId="25A8C8D6">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3.抗凝血药</w:t>
            </w:r>
          </w:p>
          <w:p w14:paraId="14563BA9">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4.抗贫血药</w:t>
            </w:r>
          </w:p>
          <w:p w14:paraId="4953CD14">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5.血容量扩充药</w:t>
            </w:r>
          </w:p>
        </w:tc>
        <w:tc>
          <w:tcPr>
            <w:tcW w:w="1340" w:type="pct"/>
            <w:vAlign w:val="center"/>
          </w:tcPr>
          <w:p w14:paraId="6A74538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1.能根据动物心脏功能状态（如心衰），选择适配的强心药并规范给药</w:t>
            </w:r>
          </w:p>
          <w:p w14:paraId="4F9D4DB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2.能操作止血药的局部外用、注射等给药方式，处理动物外伤或内出血症状</w:t>
            </w:r>
          </w:p>
        </w:tc>
        <w:tc>
          <w:tcPr>
            <w:tcW w:w="874" w:type="pct"/>
            <w:vAlign w:val="center"/>
          </w:tcPr>
          <w:p w14:paraId="2EEF15A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1.有机磷中毒的毒理</w:t>
            </w:r>
          </w:p>
          <w:p w14:paraId="2759D6C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2.氧气的运输</w:t>
            </w:r>
          </w:p>
          <w:p w14:paraId="1DC33C8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3.亚硝酸盐中毒的毒理</w:t>
            </w:r>
          </w:p>
          <w:p w14:paraId="0D6BCDF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4.氰化物中毒的毒理</w:t>
            </w:r>
          </w:p>
        </w:tc>
        <w:tc>
          <w:tcPr>
            <w:tcW w:w="353" w:type="pct"/>
            <w:vAlign w:val="center"/>
          </w:tcPr>
          <w:p w14:paraId="3C7DD3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C1E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vAlign w:val="center"/>
          </w:tcPr>
          <w:p w14:paraId="2419094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第五篇影响组织代谢和抗过敏药物</w:t>
            </w:r>
          </w:p>
        </w:tc>
        <w:tc>
          <w:tcPr>
            <w:tcW w:w="723" w:type="pct"/>
            <w:vAlign w:val="center"/>
          </w:tcPr>
          <w:p w14:paraId="5AD4721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模块一调节新陈代谢的药物</w:t>
            </w:r>
          </w:p>
        </w:tc>
        <w:tc>
          <w:tcPr>
            <w:tcW w:w="1001" w:type="pct"/>
            <w:vAlign w:val="center"/>
          </w:tcPr>
          <w:p w14:paraId="00AA5F7E">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1.调节水盐代谢的药物</w:t>
            </w:r>
          </w:p>
          <w:p w14:paraId="14DCA1A7">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2.调节酸碱平衡药物</w:t>
            </w:r>
          </w:p>
          <w:p w14:paraId="1231B7C3">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3.维生素</w:t>
            </w:r>
          </w:p>
          <w:p w14:paraId="1A1AD2BF">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4.钙、磷及微量元素</w:t>
            </w:r>
          </w:p>
        </w:tc>
        <w:tc>
          <w:tcPr>
            <w:tcW w:w="1340" w:type="pct"/>
          </w:tcPr>
          <w:p w14:paraId="6FC2F3F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1.能根据动物水盐 / 酸碱失衡症状（如脱水、酸中毒），选择适配的调节药物并计算剂量</w:t>
            </w:r>
          </w:p>
          <w:p w14:paraId="5CC61E5E">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2.能规范操作维生素、钙磷及微量元素的混饲 / 注射给药，匹配动物生长阶段的营养需求</w:t>
            </w:r>
          </w:p>
        </w:tc>
        <w:tc>
          <w:tcPr>
            <w:tcW w:w="874" w:type="pct"/>
            <w:vAlign w:val="center"/>
          </w:tcPr>
          <w:p w14:paraId="525056B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以“营养均衡与机体健康”为切入点，传递“预防优先、科学养护” 的养殖理念。</w:t>
            </w:r>
          </w:p>
        </w:tc>
        <w:tc>
          <w:tcPr>
            <w:tcW w:w="353" w:type="pct"/>
            <w:vAlign w:val="center"/>
          </w:tcPr>
          <w:p w14:paraId="3AAC2F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09FA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vAlign w:val="center"/>
          </w:tcPr>
          <w:p w14:paraId="327F22C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723" w:type="pct"/>
            <w:vAlign w:val="center"/>
          </w:tcPr>
          <w:p w14:paraId="6EDD54C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模块二抗组胺药与解热镇痛抗炎药</w:t>
            </w:r>
          </w:p>
        </w:tc>
        <w:tc>
          <w:tcPr>
            <w:tcW w:w="1001" w:type="pct"/>
            <w:vAlign w:val="center"/>
          </w:tcPr>
          <w:p w14:paraId="16FD7902">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1.抗组胺药</w:t>
            </w:r>
          </w:p>
          <w:p w14:paraId="213D7ACA">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2.解热镇痛抗炎药</w:t>
            </w:r>
          </w:p>
        </w:tc>
        <w:tc>
          <w:tcPr>
            <w:tcW w:w="1340" w:type="pct"/>
            <w:vAlign w:val="center"/>
          </w:tcPr>
          <w:p w14:paraId="00CC774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能根据动物过敏症状（如皮疹、呼吸道水肿），选择适配的抗组胺药并规范给药</w:t>
            </w:r>
          </w:p>
        </w:tc>
        <w:tc>
          <w:tcPr>
            <w:tcW w:w="874" w:type="pct"/>
            <w:vAlign w:val="center"/>
          </w:tcPr>
          <w:p w14:paraId="103F86C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从“过敏反应的精准干预”，培养“个体化用药（按需调整方案）”的科学思维。</w:t>
            </w:r>
          </w:p>
        </w:tc>
        <w:tc>
          <w:tcPr>
            <w:tcW w:w="353" w:type="pct"/>
            <w:vAlign w:val="center"/>
          </w:tcPr>
          <w:p w14:paraId="279E09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14:paraId="065EF2DD">
      <w:pPr>
        <w:pStyle w:val="3"/>
        <w:bidi w:val="0"/>
        <w:rPr>
          <w:rFonts w:hint="eastAsia"/>
          <w:lang w:val="en-US" w:eastAsia="zh-CN"/>
        </w:rPr>
      </w:pPr>
      <w:r>
        <w:rPr>
          <w:rFonts w:hint="eastAsia"/>
          <w:lang w:val="en-US" w:eastAsia="zh-CN"/>
        </w:rPr>
        <w:t>六、课程考核与评价</w:t>
      </w:r>
    </w:p>
    <w:p w14:paraId="170ABC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遵循“立德树人、德技并修”的评价导向，紧扣动物药理课程 “理论 + 实践 + 素养” 的融合特质，坚持 “知识掌握与技能实操相结合、过程表现与最终成果相结合、量化考核与质性反馈相结合、专业能力与思政素养相结合” 的原则，从药物知识的精准性、用药实操的规范性、职业态度的严谨性、动物伦理的践行度等维度，全面评价学生的专业认知水平、临床用药技能，以及科学用药、关爱动物、职业责任等思政素养的养成情况。</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CF8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68069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8ACD9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1581A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5CED7A0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6F7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1CCAF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E5A8E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8792A00">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EE8262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20FC6FF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553D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75152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80C4C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3A48923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701198C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A27929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以智慧职教平台测验的方式对单元的基本知识和重点内容进行考核</w:t>
            </w:r>
          </w:p>
        </w:tc>
      </w:tr>
      <w:tr w14:paraId="0191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3637F9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D4CBA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1755B3C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w:t>
            </w:r>
          </w:p>
        </w:tc>
        <w:tc>
          <w:tcPr>
            <w:tcW w:w="1311" w:type="dxa"/>
            <w:tcBorders>
              <w:left w:val="single" w:color="auto" w:sz="4" w:space="0"/>
              <w:right w:val="single" w:color="auto" w:sz="4" w:space="0"/>
            </w:tcBorders>
            <w:vAlign w:val="center"/>
          </w:tcPr>
          <w:p w14:paraId="1FD58EE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2F0E06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以学生动手能力和实训内容的掌握能力进行考核</w:t>
            </w:r>
          </w:p>
        </w:tc>
      </w:tr>
      <w:tr w14:paraId="5BC0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F9C64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30BA0B4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BDE48A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60%</w:t>
            </w:r>
          </w:p>
        </w:tc>
        <w:tc>
          <w:tcPr>
            <w:tcW w:w="3540" w:type="dxa"/>
            <w:tcBorders>
              <w:left w:val="single" w:color="auto" w:sz="4" w:space="0"/>
              <w:right w:val="single" w:color="auto" w:sz="4" w:space="0"/>
            </w:tcBorders>
            <w:vAlign w:val="center"/>
          </w:tcPr>
          <w:p w14:paraId="740C61D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5672E8BF">
      <w:pPr>
        <w:pStyle w:val="3"/>
        <w:bidi w:val="0"/>
        <w:rPr>
          <w:rFonts w:hint="eastAsia"/>
          <w:lang w:val="en-US" w:eastAsia="zh-CN"/>
        </w:rPr>
      </w:pPr>
      <w:r>
        <w:rPr>
          <w:rFonts w:hint="eastAsia"/>
          <w:lang w:val="en-US" w:eastAsia="zh-CN"/>
        </w:rPr>
        <w:t>七、课程实施与保障</w:t>
      </w:r>
    </w:p>
    <w:p w14:paraId="6C68F2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8ED61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案例驱动式、任务导向式教学方法，选用线上线下混合式教学组织形式，搭配实操演示法、问题链教学法等教学方法，引导学生采用小组协作探究、实操强化训练等学习方法，依托校内智慧职教、学习通等课程资源平台、动物药理实操实训基地等教学载体，结合兽医处方解读、用药方案设计、不良反应处置等真实岗位任务实施教学，强化理论与临床应用的衔接。</w:t>
      </w:r>
    </w:p>
    <w:p w14:paraId="563995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8A71C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健康养殖、兽药创新、责任担当”的课程思政价值链，结合我国兽医药学专家、行业领军人物的科研攻关经历，将兽药研发创新精神、严谨务实的执业精神传递给学生，促使专业知识与思政教育水乳交融。融入畜禽养殖产业发展政策、兽药行业监管规范，增强学生服务乡村振兴、助力畜牧业高质量发展的使命感；融入行业资深兽医、兽药研发专家的坚守事迹，培养学生精益求精的工匠精神；融合我国自主研发兽药的突破故事、动物疫病防控中的用药创新案例，培养学生“科技兴牧”的创新创业意识；融入兽药安全使用规范、实验室操作安全、动物防疫安全等内容，提高学生安全执业、合规用药的责任意识和防御能力；融入动物疫病防控对公共卫生安全、国家粮食安全的重要意义，树立学生“守护动物健康、护航民生安全”的职业志向。</w:t>
      </w:r>
    </w:p>
    <w:p w14:paraId="4057F85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922A2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49B10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专兼职教师在13人左右，其中专职教师11人，来自企业的兼职教师2人。具备双师素质资格，具有一定的实践经验，教学效果良好，职称和年龄结构合理。</w:t>
      </w:r>
    </w:p>
    <w:p w14:paraId="61BAC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6986F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实施课程教学，校内具备以下实训条件：</w:t>
      </w:r>
    </w:p>
    <w:p w14:paraId="34E09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多媒体专业教室：具备一体化教室的综合功能，可支撑动物药理课程的理论知识讲授（如兽药作用机制讲解、案例分析）、线上资源展示（如虚拟仿真实验视频、兽药研发案例）、课堂互动研讨（如用药方案小组汇报）等教学活动，为课程理论教学提供稳定的硬件支撑。</w:t>
      </w:r>
    </w:p>
    <w:p w14:paraId="2E3CE3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教学做一体化实训室：配备多媒体教学系统、电子白板等设备，可同步开展理论讲解、兽药知识演示；配置动物药理实操设备，以及标准化给药保定架，满足兽药给药、药敏试验等实操训练。</w:t>
      </w:r>
    </w:p>
    <w:p w14:paraId="0CAA6FC5">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br w:type="page"/>
      </w:r>
    </w:p>
    <w:p w14:paraId="1CE34D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实训仪器清单</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3520"/>
        <w:gridCol w:w="2464"/>
        <w:gridCol w:w="1908"/>
      </w:tblGrid>
      <w:tr w14:paraId="31AB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6053AD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物品名称</w:t>
            </w:r>
          </w:p>
        </w:tc>
        <w:tc>
          <w:tcPr>
            <w:tcW w:w="1786" w:type="pct"/>
          </w:tcPr>
          <w:p w14:paraId="44D9FB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规格</w:t>
            </w:r>
          </w:p>
        </w:tc>
        <w:tc>
          <w:tcPr>
            <w:tcW w:w="1250" w:type="pct"/>
          </w:tcPr>
          <w:p w14:paraId="07C39C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物品名称</w:t>
            </w:r>
          </w:p>
        </w:tc>
        <w:tc>
          <w:tcPr>
            <w:tcW w:w="968" w:type="pct"/>
          </w:tcPr>
          <w:p w14:paraId="7B4F7CC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规格</w:t>
            </w:r>
          </w:p>
        </w:tc>
      </w:tr>
      <w:tr w14:paraId="1B1A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5DAB39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锥形瓶</w:t>
            </w:r>
          </w:p>
        </w:tc>
        <w:tc>
          <w:tcPr>
            <w:tcW w:w="1786" w:type="pct"/>
          </w:tcPr>
          <w:p w14:paraId="5C548A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100ml、250ml、500ml</w:t>
            </w:r>
          </w:p>
        </w:tc>
        <w:tc>
          <w:tcPr>
            <w:tcW w:w="1250" w:type="pct"/>
          </w:tcPr>
          <w:p w14:paraId="25C198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药敏片（红霉素）</w:t>
            </w:r>
          </w:p>
        </w:tc>
        <w:tc>
          <w:tcPr>
            <w:tcW w:w="968" w:type="pct"/>
          </w:tcPr>
          <w:p w14:paraId="321617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20片 / 瓶</w:t>
            </w:r>
          </w:p>
        </w:tc>
      </w:tr>
      <w:tr w14:paraId="19C4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5F980D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量 筒</w:t>
            </w:r>
          </w:p>
        </w:tc>
        <w:tc>
          <w:tcPr>
            <w:tcW w:w="1786" w:type="pct"/>
          </w:tcPr>
          <w:p w14:paraId="76A394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10ml、20ml、100ml</w:t>
            </w:r>
          </w:p>
        </w:tc>
        <w:tc>
          <w:tcPr>
            <w:tcW w:w="1250" w:type="pct"/>
          </w:tcPr>
          <w:p w14:paraId="6CCE05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抗生素纸片（普通）</w:t>
            </w:r>
          </w:p>
        </w:tc>
        <w:tc>
          <w:tcPr>
            <w:tcW w:w="968" w:type="pct"/>
          </w:tcPr>
          <w:p w14:paraId="01BF2D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50片 / 瓶</w:t>
            </w:r>
          </w:p>
        </w:tc>
      </w:tr>
      <w:tr w14:paraId="2E27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166632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烧 杯</w:t>
            </w:r>
          </w:p>
        </w:tc>
        <w:tc>
          <w:tcPr>
            <w:tcW w:w="1786" w:type="pct"/>
          </w:tcPr>
          <w:p w14:paraId="1CFE25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100ml、500ml、1000ml</w:t>
            </w:r>
          </w:p>
        </w:tc>
        <w:tc>
          <w:tcPr>
            <w:tcW w:w="1250" w:type="pct"/>
          </w:tcPr>
          <w:p w14:paraId="024642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 精</w:t>
            </w:r>
          </w:p>
        </w:tc>
        <w:tc>
          <w:tcPr>
            <w:tcW w:w="968" w:type="pct"/>
          </w:tcPr>
          <w:p w14:paraId="792F34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1"/>
                <w:w w:val="86"/>
                <w:kern w:val="0"/>
                <w:sz w:val="21"/>
                <w:szCs w:val="21"/>
                <w:fitText w:val="1320" w:id="1998994909"/>
                <w:vertAlign w:val="baseline"/>
                <w:lang w:val="en-US" w:eastAsia="zh-CN"/>
              </w:rPr>
              <w:t>95%的酒精500m</w:t>
            </w:r>
            <w:r>
              <w:rPr>
                <w:rFonts w:hint="eastAsia" w:ascii="宋体" w:hAnsi="宋体" w:eastAsia="宋体" w:cs="宋体"/>
                <w:spacing w:val="-1"/>
                <w:w w:val="86"/>
                <w:kern w:val="0"/>
                <w:sz w:val="21"/>
                <w:szCs w:val="21"/>
                <w:fitText w:val="1320" w:id="1998994909"/>
                <w:vertAlign w:val="baseline"/>
                <w:lang w:val="en-US" w:eastAsia="zh-CN"/>
              </w:rPr>
              <w:t>l</w:t>
            </w:r>
          </w:p>
        </w:tc>
      </w:tr>
      <w:tr w14:paraId="2125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409A8C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酒精灯</w:t>
            </w:r>
          </w:p>
        </w:tc>
        <w:tc>
          <w:tcPr>
            <w:tcW w:w="1786" w:type="pct"/>
          </w:tcPr>
          <w:p w14:paraId="17C3D7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普通规格250ml</w:t>
            </w:r>
          </w:p>
        </w:tc>
        <w:tc>
          <w:tcPr>
            <w:tcW w:w="1250" w:type="pct"/>
          </w:tcPr>
          <w:p w14:paraId="7C0F85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超净工作台</w:t>
            </w:r>
          </w:p>
        </w:tc>
        <w:tc>
          <w:tcPr>
            <w:tcW w:w="968" w:type="pct"/>
          </w:tcPr>
          <w:p w14:paraId="461F2B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r>
      <w:tr w14:paraId="19AA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190DF3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移液枪头</w:t>
            </w:r>
          </w:p>
        </w:tc>
        <w:tc>
          <w:tcPr>
            <w:tcW w:w="1786" w:type="pct"/>
          </w:tcPr>
          <w:p w14:paraId="12B21CAD">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0.1-2.5ul、2-20ul、20-200ul</w:t>
            </w:r>
          </w:p>
        </w:tc>
        <w:tc>
          <w:tcPr>
            <w:tcW w:w="1250" w:type="pct"/>
          </w:tcPr>
          <w:p w14:paraId="68EA02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生物安全柜</w:t>
            </w:r>
          </w:p>
        </w:tc>
        <w:tc>
          <w:tcPr>
            <w:tcW w:w="968" w:type="pct"/>
          </w:tcPr>
          <w:p w14:paraId="13EA51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14:paraId="57FF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057F39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菌落计数器</w:t>
            </w:r>
          </w:p>
        </w:tc>
        <w:tc>
          <w:tcPr>
            <w:tcW w:w="1786" w:type="pct"/>
          </w:tcPr>
          <w:p w14:paraId="645C5A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机械款</w:t>
            </w:r>
          </w:p>
        </w:tc>
        <w:tc>
          <w:tcPr>
            <w:tcW w:w="1250" w:type="pct"/>
          </w:tcPr>
          <w:p w14:paraId="086F4E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立式超低温冰箱</w:t>
            </w:r>
          </w:p>
        </w:tc>
        <w:tc>
          <w:tcPr>
            <w:tcW w:w="968" w:type="pct"/>
          </w:tcPr>
          <w:p w14:paraId="235A72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14:paraId="3E85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5AB2E8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7"/>
                <w:w w:val="100"/>
                <w:kern w:val="0"/>
                <w:sz w:val="21"/>
                <w:szCs w:val="21"/>
                <w:fitText w:val="1560" w:id="548040657"/>
                <w:vertAlign w:val="baseline"/>
                <w:lang w:val="en-US" w:eastAsia="zh-CN"/>
              </w:rPr>
              <w:t>营养肉汤培养</w:t>
            </w:r>
            <w:r>
              <w:rPr>
                <w:rFonts w:hint="eastAsia" w:ascii="宋体" w:hAnsi="宋体" w:eastAsia="宋体" w:cs="宋体"/>
                <w:spacing w:val="3"/>
                <w:w w:val="100"/>
                <w:kern w:val="0"/>
                <w:sz w:val="21"/>
                <w:szCs w:val="21"/>
                <w:fitText w:val="1560" w:id="548040657"/>
                <w:vertAlign w:val="baseline"/>
                <w:lang w:val="en-US" w:eastAsia="zh-CN"/>
              </w:rPr>
              <w:t>基</w:t>
            </w:r>
          </w:p>
        </w:tc>
        <w:tc>
          <w:tcPr>
            <w:tcW w:w="1786" w:type="pct"/>
          </w:tcPr>
          <w:p w14:paraId="31A006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250g / 瓶</w:t>
            </w:r>
          </w:p>
        </w:tc>
        <w:tc>
          <w:tcPr>
            <w:tcW w:w="1250" w:type="pct"/>
          </w:tcPr>
          <w:p w14:paraId="3C07D7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高压灭菌器</w:t>
            </w:r>
          </w:p>
        </w:tc>
        <w:tc>
          <w:tcPr>
            <w:tcW w:w="968" w:type="pct"/>
          </w:tcPr>
          <w:p w14:paraId="0F0CCA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14:paraId="5C36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3AE674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pacing w:val="1350"/>
                <w:w w:val="100"/>
                <w:kern w:val="0"/>
                <w:sz w:val="21"/>
                <w:szCs w:val="21"/>
                <w:fitText w:val="1560" w:id="248053792"/>
                <w:vertAlign w:val="baseline"/>
                <w:lang w:val="en-US" w:eastAsia="zh-CN"/>
              </w:rPr>
            </w:pPr>
            <w:r>
              <w:rPr>
                <w:rFonts w:hint="eastAsia" w:ascii="宋体" w:hAnsi="宋体" w:eastAsia="宋体" w:cs="宋体"/>
                <w:spacing w:val="30"/>
                <w:w w:val="100"/>
                <w:kern w:val="0"/>
                <w:sz w:val="21"/>
                <w:szCs w:val="21"/>
                <w:fitText w:val="1560" w:id="1660970051"/>
                <w:vertAlign w:val="baseline"/>
                <w:lang w:val="en-US" w:eastAsia="zh-CN"/>
              </w:rPr>
              <w:t>麦康凯培养</w:t>
            </w:r>
            <w:r>
              <w:rPr>
                <w:rFonts w:hint="eastAsia" w:ascii="宋体" w:hAnsi="宋体" w:eastAsia="宋体" w:cs="宋体"/>
                <w:spacing w:val="0"/>
                <w:w w:val="100"/>
                <w:kern w:val="0"/>
                <w:sz w:val="21"/>
                <w:szCs w:val="21"/>
                <w:fitText w:val="1560" w:id="1660970051"/>
                <w:vertAlign w:val="baseline"/>
                <w:lang w:val="en-US" w:eastAsia="zh-CN"/>
              </w:rPr>
              <w:t>基</w:t>
            </w:r>
          </w:p>
        </w:tc>
        <w:tc>
          <w:tcPr>
            <w:tcW w:w="1786" w:type="pct"/>
          </w:tcPr>
          <w:p w14:paraId="711DC4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250g / 瓶（琼脂）</w:t>
            </w:r>
          </w:p>
        </w:tc>
        <w:tc>
          <w:tcPr>
            <w:tcW w:w="1250" w:type="pct"/>
          </w:tcPr>
          <w:p w14:paraId="4359EF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电热恒温培养箱</w:t>
            </w:r>
          </w:p>
        </w:tc>
        <w:tc>
          <w:tcPr>
            <w:tcW w:w="968" w:type="pct"/>
          </w:tcPr>
          <w:p w14:paraId="5C740F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14:paraId="293F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7CF5BF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pacing w:val="1350"/>
                <w:w w:val="100"/>
                <w:kern w:val="0"/>
                <w:sz w:val="21"/>
                <w:szCs w:val="21"/>
                <w:fitText w:val="1560" w:id="248053792"/>
                <w:vertAlign w:val="baseline"/>
                <w:lang w:val="en-US" w:eastAsia="zh-CN"/>
              </w:rPr>
            </w:pPr>
            <w:r>
              <w:rPr>
                <w:rFonts w:hint="eastAsia" w:ascii="宋体" w:hAnsi="宋体" w:eastAsia="宋体" w:cs="宋体"/>
                <w:spacing w:val="30"/>
                <w:w w:val="100"/>
                <w:kern w:val="0"/>
                <w:sz w:val="21"/>
                <w:szCs w:val="21"/>
                <w:fitText w:val="1560" w:id="150693469"/>
                <w:vertAlign w:val="baseline"/>
                <w:lang w:val="en-US" w:eastAsia="zh-CN"/>
              </w:rPr>
              <w:t>血琼脂培养</w:t>
            </w:r>
            <w:r>
              <w:rPr>
                <w:rFonts w:hint="eastAsia" w:ascii="宋体" w:hAnsi="宋体" w:eastAsia="宋体" w:cs="宋体"/>
                <w:spacing w:val="0"/>
                <w:w w:val="100"/>
                <w:kern w:val="0"/>
                <w:sz w:val="21"/>
                <w:szCs w:val="21"/>
                <w:fitText w:val="1560" w:id="150693469"/>
                <w:vertAlign w:val="baseline"/>
                <w:lang w:val="en-US" w:eastAsia="zh-CN"/>
              </w:rPr>
              <w:t>基</w:t>
            </w:r>
          </w:p>
        </w:tc>
        <w:tc>
          <w:tcPr>
            <w:tcW w:w="1786" w:type="pct"/>
          </w:tcPr>
          <w:p w14:paraId="08D3E3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9cm*10 个 / 包</w:t>
            </w:r>
          </w:p>
        </w:tc>
        <w:tc>
          <w:tcPr>
            <w:tcW w:w="1250" w:type="pct"/>
          </w:tcPr>
          <w:p w14:paraId="44F1E5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电热恒温干燥箱</w:t>
            </w:r>
          </w:p>
        </w:tc>
        <w:tc>
          <w:tcPr>
            <w:tcW w:w="968" w:type="pct"/>
          </w:tcPr>
          <w:p w14:paraId="306AD9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r>
      <w:tr w14:paraId="075B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4E3B33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琼脂粉</w:t>
            </w:r>
          </w:p>
        </w:tc>
        <w:tc>
          <w:tcPr>
            <w:tcW w:w="1786" w:type="pct"/>
          </w:tcPr>
          <w:p w14:paraId="4637EC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250g / 瓶</w:t>
            </w:r>
          </w:p>
        </w:tc>
        <w:tc>
          <w:tcPr>
            <w:tcW w:w="1250" w:type="pct"/>
          </w:tcPr>
          <w:p w14:paraId="1725BA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细菌接种环</w:t>
            </w:r>
          </w:p>
        </w:tc>
        <w:tc>
          <w:tcPr>
            <w:tcW w:w="968" w:type="pct"/>
          </w:tcPr>
          <w:p w14:paraId="31DC3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w:t>
            </w:r>
          </w:p>
        </w:tc>
      </w:tr>
      <w:tr w14:paraId="4F04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0A9A1B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牛肉膏</w:t>
            </w:r>
          </w:p>
        </w:tc>
        <w:tc>
          <w:tcPr>
            <w:tcW w:w="1786" w:type="pct"/>
          </w:tcPr>
          <w:p w14:paraId="0A6D3E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250g / 瓶</w:t>
            </w:r>
          </w:p>
        </w:tc>
        <w:tc>
          <w:tcPr>
            <w:tcW w:w="1250" w:type="pct"/>
          </w:tcPr>
          <w:p w14:paraId="15701C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细菌接种针</w:t>
            </w:r>
          </w:p>
        </w:tc>
        <w:tc>
          <w:tcPr>
            <w:tcW w:w="968" w:type="pct"/>
          </w:tcPr>
          <w:p w14:paraId="7DECCA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w:t>
            </w:r>
          </w:p>
        </w:tc>
      </w:tr>
      <w:tr w14:paraId="759B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60A1C3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蛋白胨</w:t>
            </w:r>
          </w:p>
        </w:tc>
        <w:tc>
          <w:tcPr>
            <w:tcW w:w="1786" w:type="pct"/>
          </w:tcPr>
          <w:p w14:paraId="07B032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250g / 瓶</w:t>
            </w:r>
          </w:p>
        </w:tc>
        <w:tc>
          <w:tcPr>
            <w:tcW w:w="1250" w:type="pct"/>
          </w:tcPr>
          <w:p w14:paraId="57FDA8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0"/>
                <w:w w:val="76"/>
                <w:kern w:val="0"/>
                <w:sz w:val="21"/>
                <w:szCs w:val="21"/>
                <w:fitText w:val="1920" w:id="1236883636"/>
                <w:vertAlign w:val="baseline"/>
                <w:lang w:val="en-US" w:eastAsia="zh-CN"/>
              </w:rPr>
              <w:t>普通平板培养皿(玻璃带盖</w:t>
            </w:r>
            <w:r>
              <w:rPr>
                <w:rFonts w:hint="eastAsia" w:ascii="宋体" w:hAnsi="宋体" w:eastAsia="宋体" w:cs="宋体"/>
                <w:spacing w:val="10"/>
                <w:w w:val="76"/>
                <w:kern w:val="0"/>
                <w:sz w:val="21"/>
                <w:szCs w:val="21"/>
                <w:fitText w:val="1920" w:id="1236883636"/>
                <w:vertAlign w:val="baseline"/>
                <w:lang w:val="en-US" w:eastAsia="zh-CN"/>
              </w:rPr>
              <w:t>)</w:t>
            </w:r>
          </w:p>
        </w:tc>
        <w:tc>
          <w:tcPr>
            <w:tcW w:w="968" w:type="pct"/>
          </w:tcPr>
          <w:p w14:paraId="605E63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w:t>
            </w:r>
          </w:p>
        </w:tc>
      </w:tr>
      <w:tr w14:paraId="7D7B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pct"/>
          </w:tcPr>
          <w:p w14:paraId="6C35A8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pacing w:val="1350"/>
                <w:w w:val="100"/>
                <w:kern w:val="0"/>
                <w:sz w:val="21"/>
                <w:szCs w:val="21"/>
                <w:fitText w:val="1560" w:id="248053792"/>
                <w:vertAlign w:val="baseline"/>
                <w:lang w:val="en-US" w:eastAsia="zh-CN"/>
              </w:rPr>
            </w:pPr>
            <w:r>
              <w:rPr>
                <w:rFonts w:hint="eastAsia" w:ascii="宋体" w:hAnsi="宋体" w:eastAsia="宋体" w:cs="宋体"/>
                <w:spacing w:val="1"/>
                <w:w w:val="92"/>
                <w:kern w:val="0"/>
                <w:sz w:val="21"/>
                <w:szCs w:val="21"/>
                <w:fitText w:val="1560" w:id="2033647943"/>
                <w:vertAlign w:val="baseline"/>
                <w:lang w:val="en-US" w:eastAsia="zh-CN"/>
              </w:rPr>
              <w:t>药敏片（青霉素</w:t>
            </w:r>
            <w:r>
              <w:rPr>
                <w:rFonts w:hint="eastAsia" w:ascii="宋体" w:hAnsi="宋体" w:eastAsia="宋体" w:cs="宋体"/>
                <w:spacing w:val="4"/>
                <w:w w:val="92"/>
                <w:kern w:val="0"/>
                <w:sz w:val="21"/>
                <w:szCs w:val="21"/>
                <w:fitText w:val="1560" w:id="2033647943"/>
                <w:vertAlign w:val="baseline"/>
                <w:lang w:val="en-US" w:eastAsia="zh-CN"/>
              </w:rPr>
              <w:t>）</w:t>
            </w:r>
          </w:p>
        </w:tc>
        <w:tc>
          <w:tcPr>
            <w:tcW w:w="1786" w:type="pct"/>
          </w:tcPr>
          <w:p w14:paraId="39C8B7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20片 / 瓶</w:t>
            </w:r>
          </w:p>
        </w:tc>
        <w:tc>
          <w:tcPr>
            <w:tcW w:w="1250" w:type="pct"/>
          </w:tcPr>
          <w:p w14:paraId="386AC3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pacing w:val="0"/>
                <w:w w:val="76"/>
                <w:kern w:val="0"/>
                <w:sz w:val="21"/>
                <w:szCs w:val="21"/>
                <w:fitText w:val="1920" w:id="776878669"/>
                <w:vertAlign w:val="baseline"/>
                <w:lang w:val="en-US" w:eastAsia="zh-CN"/>
              </w:rPr>
              <w:t>玻璃试管培养皿(带硅胶塞</w:t>
            </w:r>
            <w:r>
              <w:rPr>
                <w:rFonts w:hint="eastAsia" w:ascii="宋体" w:hAnsi="宋体" w:eastAsia="宋体" w:cs="宋体"/>
                <w:spacing w:val="10"/>
                <w:w w:val="76"/>
                <w:kern w:val="0"/>
                <w:sz w:val="21"/>
                <w:szCs w:val="21"/>
                <w:fitText w:val="1920" w:id="776878669"/>
                <w:vertAlign w:val="baseline"/>
                <w:lang w:val="en-US" w:eastAsia="zh-CN"/>
              </w:rPr>
              <w:t>)</w:t>
            </w:r>
          </w:p>
        </w:tc>
        <w:tc>
          <w:tcPr>
            <w:tcW w:w="968" w:type="pct"/>
          </w:tcPr>
          <w:p w14:paraId="612627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w:t>
            </w:r>
          </w:p>
        </w:tc>
      </w:tr>
    </w:tbl>
    <w:p w14:paraId="1A2EB9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EC798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bookmarkStart w:id="72" w:name="_GoBack"/>
      <w:bookmarkEnd w:id="72"/>
    </w:p>
    <w:p w14:paraId="30663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与教辅：选用适配畜牧兽医专业的《动物药理学》“十三五”规划教材，配套《动物药理实训指导手册》《执业兽医师资格考试模拟题》等教辅资料，涵盖药物分类、用药规范、实操案例、执业兽医师考试等核心内容；</w:t>
      </w:r>
    </w:p>
    <w:p w14:paraId="224BDC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师资队伍：配备具备兽医药理专业背景、临床执业经验的教师，且需掌握兽药行业政策、动物福利伦理等思政融入能力； </w:t>
      </w:r>
    </w:p>
    <w:p w14:paraId="2BCCDF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实训资源：建设动物药理实操实训室，配备常用兽药制剂、给药器械（注射器、灌药器等）、动物病理模型、药敏试验设备等。</w:t>
      </w:r>
    </w:p>
    <w:p w14:paraId="61B66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685A2D2">
      <w:pPr>
        <w:keepNext w:val="0"/>
        <w:keepLines w:val="0"/>
        <w:pageBreakBefore w:val="0"/>
        <w:widowControl w:val="0"/>
        <w:kinsoku/>
        <w:wordWrap/>
        <w:overflowPunct/>
        <w:topLinePunct w:val="0"/>
        <w:autoSpaceDE/>
        <w:autoSpaceDN/>
        <w:bidi w:val="0"/>
        <w:spacing w:line="44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在线课程平台：依托智慧职教、大学MOOC、学习通等平台，搭建包含课程课件、药理知识微课、虚拟仿真实验（如兽药给药操作、药物不良反应模拟）、兽医处方案例库等资源的线上课程；</w:t>
      </w:r>
    </w:p>
    <w:p w14:paraId="42388652">
      <w:pPr>
        <w:keepNext w:val="0"/>
        <w:keepLines w:val="0"/>
        <w:pageBreakBefore w:val="0"/>
        <w:widowControl w:val="0"/>
        <w:kinsoku/>
        <w:wordWrap/>
        <w:overflowPunct/>
        <w:topLinePunct w:val="0"/>
        <w:autoSpaceDE/>
        <w:autoSpaceDN/>
        <w:bidi w:val="0"/>
        <w:spacing w:line="440" w:lineRule="exact"/>
        <w:ind w:firstLine="48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行业资源库：整合我国兽药创新成果（如自主研发驱虫药、抗病毒兽药）、行业专家讲座视频、养殖企业用药规范实操视频等资源； </w:t>
      </w:r>
    </w:p>
    <w:p w14:paraId="5CF6738D">
      <w:pPr>
        <w:keepNext w:val="0"/>
        <w:keepLines w:val="0"/>
        <w:pageBreakBefore w:val="0"/>
        <w:widowControl w:val="0"/>
        <w:kinsoku/>
        <w:wordWrap/>
        <w:overflowPunct/>
        <w:topLinePunct w:val="0"/>
        <w:autoSpaceDE/>
        <w:autoSpaceDN/>
        <w:bidi w:val="0"/>
        <w:spacing w:line="440" w:lineRule="exact"/>
        <w:ind w:firstLine="48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思政资源包：收录兽医药学专家科研事迹、动物疫病防控中的用药责任案例、兽药安全监管政策解读等思政类数字资源。</w:t>
      </w:r>
    </w:p>
    <w:p w14:paraId="7506D975">
      <w:pPr>
        <w:pStyle w:val="2"/>
        <w:bidi w:val="0"/>
        <w:jc w:val="center"/>
        <w:rPr>
          <w:rFonts w:hint="eastAsia"/>
          <w:lang w:val="en-US" w:eastAsia="zh-CN"/>
        </w:rPr>
      </w:pPr>
      <w:bookmarkStart w:id="26" w:name="_Toc23259"/>
      <w:bookmarkStart w:id="27" w:name="_Toc1668"/>
      <w:r>
        <w:rPr>
          <w:rFonts w:hint="eastAsia"/>
          <w:lang w:val="en-US" w:eastAsia="zh-CN"/>
        </w:rPr>
        <w:t>《动物病理》课程标准</w:t>
      </w:r>
      <w:bookmarkEnd w:id="26"/>
      <w:bookmarkEnd w:id="27"/>
    </w:p>
    <w:p w14:paraId="4232F08D">
      <w:pPr>
        <w:pStyle w:val="3"/>
        <w:bidi w:val="0"/>
        <w:rPr>
          <w:rFonts w:hint="eastAsia"/>
        </w:rPr>
      </w:pPr>
      <w:r>
        <w:rPr>
          <w:rFonts w:hint="eastAsia"/>
        </w:rPr>
        <w:t>一、课程基本信息</w:t>
      </w:r>
    </w:p>
    <w:tbl>
      <w:tblPr>
        <w:tblStyle w:val="27"/>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61"/>
        <w:gridCol w:w="1595"/>
        <w:gridCol w:w="915"/>
        <w:gridCol w:w="975"/>
        <w:gridCol w:w="3052"/>
      </w:tblGrid>
      <w:tr w14:paraId="0935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B8F37D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2D187E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动物病理</w:t>
            </w:r>
          </w:p>
        </w:tc>
        <w:tc>
          <w:tcPr>
            <w:tcW w:w="975" w:type="dxa"/>
            <w:tcBorders>
              <w:top w:val="single" w:color="auto" w:sz="4" w:space="0"/>
              <w:left w:val="single" w:color="auto" w:sz="4" w:space="0"/>
              <w:bottom w:val="single" w:color="auto" w:sz="4" w:space="0"/>
              <w:right w:val="single" w:color="auto" w:sz="4" w:space="0"/>
            </w:tcBorders>
            <w:vAlign w:val="center"/>
          </w:tcPr>
          <w:p w14:paraId="132D4F8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66DC11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xcxm24007</w:t>
            </w:r>
          </w:p>
        </w:tc>
      </w:tr>
      <w:tr w14:paraId="540C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3B17A7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F4C4A18">
            <w:pPr>
              <w:jc w:val="center"/>
              <w:rPr>
                <w:rFonts w:hint="default" w:eastAsiaTheme="minorEastAsia"/>
                <w:sz w:val="21"/>
                <w:szCs w:val="21"/>
                <w:lang w:val="en-US" w:eastAsia="zh-CN"/>
              </w:rPr>
            </w:pPr>
            <w:r>
              <w:rPr>
                <w:rFonts w:hint="eastAsia"/>
                <w:sz w:val="21"/>
                <w:szCs w:val="21"/>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2CDFCC08">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E79AC1C">
            <w:pPr>
              <w:jc w:val="center"/>
              <w:rPr>
                <w:rFonts w:hint="eastAsia"/>
                <w:sz w:val="21"/>
                <w:szCs w:val="21"/>
                <w:lang w:val="en-US" w:eastAsia="zh-CN"/>
              </w:rPr>
            </w:pPr>
            <w:r>
              <w:rPr>
                <w:rFonts w:hint="eastAsia"/>
                <w:sz w:val="21"/>
                <w:szCs w:val="21"/>
                <w:lang w:val="en-US" w:eastAsia="zh-CN"/>
              </w:rPr>
              <w:t>16学时</w:t>
            </w:r>
          </w:p>
        </w:tc>
        <w:tc>
          <w:tcPr>
            <w:tcW w:w="975" w:type="dxa"/>
            <w:tcBorders>
              <w:top w:val="single" w:color="auto" w:sz="4" w:space="0"/>
              <w:left w:val="single" w:color="auto" w:sz="4" w:space="0"/>
              <w:bottom w:val="single" w:color="auto" w:sz="4" w:space="0"/>
              <w:right w:val="single" w:color="auto" w:sz="4" w:space="0"/>
            </w:tcBorders>
            <w:vAlign w:val="center"/>
          </w:tcPr>
          <w:p w14:paraId="78D294E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8D3A60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5E71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7ADDE9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349F1DC">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1ED1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7E7D53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DFEF78F">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5CF4E8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36ACB9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2EA1560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A16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4F7B8D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8ED255A">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color w:val="auto"/>
                <w:sz w:val="21"/>
                <w:szCs w:val="21"/>
                <w:lang w:eastAsia="zh-CN"/>
              </w:rPr>
              <w:t>动物微生物与免疫技术</w:t>
            </w:r>
            <w:r>
              <w:rPr>
                <w:rFonts w:hint="eastAsia" w:ascii="Arial" w:hAnsi="Arial" w:eastAsia="宋体" w:cs="Arial"/>
                <w:color w:val="auto"/>
                <w:sz w:val="21"/>
                <w:szCs w:val="21"/>
                <w:lang w:val="en-US" w:eastAsia="zh-CN"/>
              </w:rPr>
              <w:t xml:space="preserve">  动物营养与饲料</w:t>
            </w:r>
          </w:p>
        </w:tc>
      </w:tr>
      <w:tr w14:paraId="5383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FEC132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6B53296">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color w:val="auto"/>
                <w:sz w:val="21"/>
                <w:szCs w:val="21"/>
                <w:lang w:eastAsia="zh-CN"/>
              </w:rPr>
              <w:t>动物内科病</w:t>
            </w:r>
            <w:r>
              <w:rPr>
                <w:rFonts w:hint="eastAsia" w:ascii="Arial" w:hAnsi="Arial" w:eastAsia="宋体" w:cs="Arial"/>
                <w:color w:val="auto"/>
                <w:sz w:val="21"/>
                <w:szCs w:val="21"/>
                <w:lang w:val="en-US" w:eastAsia="zh-CN"/>
              </w:rPr>
              <w:t xml:space="preserve"> 动物外科及产科</w:t>
            </w:r>
          </w:p>
        </w:tc>
      </w:tr>
      <w:tr w14:paraId="70A3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073298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8BDE5E7">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动物病理</w:t>
            </w:r>
            <w:r>
              <w:rPr>
                <w:rFonts w:ascii="Arial" w:hAnsi="Arial" w:eastAsia="宋体" w:cs="Arial"/>
                <w:sz w:val="21"/>
                <w:szCs w:val="21"/>
              </w:rPr>
              <w:t>》</w:t>
            </w:r>
            <w:r>
              <w:rPr>
                <w:rFonts w:hint="eastAsia" w:ascii="Arial" w:hAnsi="Arial" w:eastAsia="宋体" w:cs="Arial"/>
                <w:sz w:val="21"/>
                <w:szCs w:val="21"/>
                <w:lang w:eastAsia="zh-CN"/>
              </w:rPr>
              <w:t>（第五版）</w:t>
            </w:r>
            <w:r>
              <w:rPr>
                <w:rFonts w:ascii="Arial" w:hAnsi="Arial" w:eastAsia="宋体" w:cs="Arial"/>
                <w:sz w:val="21"/>
                <w:szCs w:val="21"/>
              </w:rPr>
              <w:t>（</w:t>
            </w:r>
            <w:r>
              <w:rPr>
                <w:rFonts w:hint="eastAsia" w:ascii="Arial" w:hAnsi="Arial" w:eastAsia="宋体" w:cs="Arial"/>
                <w:sz w:val="21"/>
                <w:szCs w:val="21"/>
                <w:lang w:val="en-US" w:eastAsia="zh-CN"/>
              </w:rPr>
              <w:t>於敏、周铁忠</w:t>
            </w:r>
            <w:r>
              <w:rPr>
                <w:rFonts w:hint="eastAsia" w:ascii="Arial" w:hAnsi="Arial" w:eastAsia="宋体" w:cs="Arial"/>
                <w:sz w:val="21"/>
                <w:szCs w:val="21"/>
              </w:rPr>
              <w:t>，</w:t>
            </w:r>
            <w:r>
              <w:rPr>
                <w:rFonts w:hint="eastAsia" w:ascii="Arial" w:hAnsi="Arial" w:eastAsia="宋体" w:cs="Arial"/>
                <w:sz w:val="21"/>
                <w:szCs w:val="21"/>
                <w:lang w:val="en-US" w:eastAsia="zh-CN"/>
              </w:rPr>
              <w:t>中国农业出版社，2022，9787109297203</w:t>
            </w:r>
            <w:r>
              <w:rPr>
                <w:rFonts w:ascii="Arial" w:hAnsi="Arial" w:eastAsia="宋体" w:cs="Arial"/>
                <w:sz w:val="21"/>
                <w:szCs w:val="21"/>
              </w:rPr>
              <w:t>)</w:t>
            </w:r>
          </w:p>
        </w:tc>
      </w:tr>
      <w:tr w14:paraId="456C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0B771F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2B64827">
            <w:pPr>
              <w:widowControl/>
              <w:jc w:val="left"/>
              <w:rPr>
                <w:rFonts w:hint="eastAsia" w:eastAsiaTheme="minorEastAsia"/>
                <w:sz w:val="21"/>
                <w:szCs w:val="21"/>
                <w:lang w:eastAsia="zh-CN"/>
              </w:rPr>
            </w:pPr>
            <w:r>
              <w:rPr>
                <w:rFonts w:hint="eastAsia"/>
                <w:sz w:val="21"/>
                <w:szCs w:val="21"/>
                <w:lang w:eastAsia="zh-CN"/>
              </w:rPr>
              <w:t>夏玉静</w:t>
            </w:r>
          </w:p>
        </w:tc>
        <w:tc>
          <w:tcPr>
            <w:tcW w:w="975" w:type="dxa"/>
            <w:tcBorders>
              <w:top w:val="single" w:color="auto" w:sz="4" w:space="0"/>
              <w:left w:val="single" w:color="auto" w:sz="4" w:space="0"/>
              <w:bottom w:val="single" w:color="auto" w:sz="4" w:space="0"/>
              <w:right w:val="single" w:color="auto" w:sz="4" w:space="0"/>
            </w:tcBorders>
            <w:vAlign w:val="center"/>
          </w:tcPr>
          <w:p w14:paraId="2FDB6CE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5EE1EC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13</w:t>
            </w:r>
            <w:r>
              <w:rPr>
                <w:rFonts w:hint="eastAsia" w:ascii="宋体" w:hAnsi="宋体" w:eastAsia="宋体"/>
                <w:color w:val="auto"/>
                <w:sz w:val="21"/>
                <w:szCs w:val="21"/>
              </w:rPr>
              <w:t>日</w:t>
            </w:r>
          </w:p>
        </w:tc>
      </w:tr>
      <w:tr w14:paraId="7242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125E4D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4BAC827">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309959F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1242C73">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13</w:t>
            </w:r>
            <w:r>
              <w:rPr>
                <w:rFonts w:hint="eastAsia" w:ascii="宋体" w:hAnsi="宋体" w:eastAsia="宋体"/>
                <w:color w:val="auto"/>
                <w:sz w:val="21"/>
                <w:szCs w:val="21"/>
              </w:rPr>
              <w:t>日</w:t>
            </w:r>
          </w:p>
        </w:tc>
      </w:tr>
    </w:tbl>
    <w:p w14:paraId="0E2AD91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8063BB4">
      <w:pPr>
        <w:pStyle w:val="3"/>
        <w:bidi w:val="0"/>
        <w:rPr>
          <w:rFonts w:hint="eastAsia"/>
          <w:lang w:val="en-US" w:eastAsia="zh-CN"/>
        </w:rPr>
      </w:pPr>
      <w:r>
        <w:rPr>
          <w:rFonts w:hint="eastAsia"/>
          <w:lang w:val="en-US" w:eastAsia="zh-CN"/>
        </w:rPr>
        <w:t>二、课程定位</w:t>
      </w:r>
    </w:p>
    <w:p w14:paraId="6AA65A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《动物微生物与免疫技术》、《动物营养与饲料》课程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兽医临床及疾病防控等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科学严谨，爱岗敬业的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根据病因把握疾病发生发展规律的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w:t>
      </w:r>
      <w:r>
        <w:rPr>
          <w:rFonts w:hint="eastAsia" w:ascii="Arial" w:hAnsi="Arial" w:eastAsia="宋体" w:cs="Arial"/>
          <w:color w:val="auto"/>
          <w:lang w:eastAsia="zh-CN"/>
        </w:rPr>
        <w:t>动物内科病》</w:t>
      </w:r>
      <w:r>
        <w:rPr>
          <w:rFonts w:hint="eastAsia" w:ascii="Arial" w:hAnsi="Arial" w:eastAsia="宋体" w:cs="Arial"/>
          <w:color w:val="auto"/>
          <w:lang w:val="en-US" w:eastAsia="zh-CN"/>
        </w:rPr>
        <w:t>、《动物外科及产科》</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259F0F6">
      <w:pPr>
        <w:pStyle w:val="3"/>
        <w:bidi w:val="0"/>
        <w:rPr>
          <w:rFonts w:hint="eastAsia"/>
          <w:lang w:val="en-US" w:eastAsia="zh-CN"/>
        </w:rPr>
      </w:pPr>
      <w:r>
        <w:rPr>
          <w:rFonts w:hint="eastAsia"/>
          <w:lang w:val="en-US" w:eastAsia="zh-CN"/>
        </w:rPr>
        <w:t>三、课程设计思路</w:t>
      </w:r>
    </w:p>
    <w:p w14:paraId="7DFB6A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标准以就业为导向，通过社会调研，邀请行业专家对畜牧兽医专业所涵盖的岗位进行工作任务和职业能力分析，并以工作任务为引领确定本课程的结构，以职业能力为基础确定本课程的内容，根据学生身心发展的特点和职业教育规律等方面的培养要求，着眼于培养学生临床水平及终身学习能力。关于教学形式，理论部分主要通过多媒体、板书、教具等课堂授课，实践部分主要通过</w:t>
      </w:r>
      <w:r>
        <w:rPr>
          <w:rFonts w:hint="eastAsia" w:asciiTheme="minorEastAsia" w:hAnsiTheme="minorEastAsia" w:cstheme="minorEastAsia"/>
          <w:sz w:val="24"/>
          <w:szCs w:val="24"/>
          <w:lang w:val="en-US" w:eastAsia="zh-CN"/>
        </w:rPr>
        <w:t>大体标本</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组织切片的观察</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B600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技术创新</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科学严谨</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32F0A7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战略和区域发展需要，精准对接产业岗位新需求，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w:t>
      </w:r>
      <w:r>
        <w:rPr>
          <w:rFonts w:hint="eastAsia" w:asciiTheme="minorEastAsia" w:hAnsiTheme="minorEastAsia" w:cstheme="minorEastAsia"/>
          <w:sz w:val="24"/>
          <w:szCs w:val="24"/>
          <w:lang w:val="en-US" w:eastAsia="zh-CN"/>
        </w:rPr>
        <w:t>教学</w:t>
      </w:r>
      <w:r>
        <w:rPr>
          <w:rFonts w:hint="eastAsia" w:asciiTheme="minorEastAsia" w:hAnsiTheme="minorEastAsia" w:eastAsiaTheme="minorEastAsia" w:cstheme="minorEastAsia"/>
          <w:sz w:val="24"/>
          <w:szCs w:val="24"/>
          <w:lang w:val="en-US" w:eastAsia="zh-CN"/>
        </w:rPr>
        <w:t>模式。</w:t>
      </w:r>
    </w:p>
    <w:p w14:paraId="63373345">
      <w:pPr>
        <w:pStyle w:val="3"/>
        <w:bidi w:val="0"/>
        <w:rPr>
          <w:rFonts w:hint="eastAsia"/>
          <w:lang w:val="en-US" w:eastAsia="zh-CN"/>
        </w:rPr>
      </w:pPr>
      <w:r>
        <w:rPr>
          <w:rFonts w:hint="eastAsia"/>
          <w:lang w:val="en-US" w:eastAsia="zh-CN"/>
        </w:rPr>
        <w:t>四、课程目标</w:t>
      </w:r>
    </w:p>
    <w:p w14:paraId="33EBF7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157D3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1.掌握疾病的基本知识，疾病发生的一般机理和一般规律。</w:t>
      </w:r>
    </w:p>
    <w:p w14:paraId="5DFD19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.掌握局部血液循环障碍、水肿、脱水与酸中毒、细胞和组织的损伤与修复、缺氧、炎症、发热、黄疸、肿瘤的概念、引起原因、病理变化特点和对机体的影响，了解其发生机理；</w:t>
      </w:r>
    </w:p>
    <w:p w14:paraId="4A78E1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3.掌握尸体运送及处理技术、病料采取及送检技术。</w:t>
      </w:r>
    </w:p>
    <w:p w14:paraId="7B242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4.熟悉动物的尸体剖检基本知识、注意事项、剖检记录的编写和病理材料的采取、保存、送检方法。</w:t>
      </w:r>
    </w:p>
    <w:p w14:paraId="6DC76E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8E7FE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1.能识别疾病常见的眼观病理变化，了解病理大体标本的制作和保存技术。</w:t>
      </w:r>
    </w:p>
    <w:p w14:paraId="3CE387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2.能准确识别组织器官常见的病理组织学变化，了解组织切片制作技术。</w:t>
      </w:r>
    </w:p>
    <w:p w14:paraId="1B7E8B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3.能观察和分析疾病状态下动物机体机能和代谢的变化。</w:t>
      </w:r>
    </w:p>
    <w:p w14:paraId="1F96C0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4.能独立进行常见动物的尸体剖检，并能综合分析病变，对疾病做出初步诊断。</w:t>
      </w:r>
    </w:p>
    <w:p w14:paraId="5C8100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5.能编写剖检记录和填写病理剖检报告。</w:t>
      </w:r>
    </w:p>
    <w:p w14:paraId="56E14C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6.能对微生物学检验材料、病理组织学检验材料和毒物检查材料进行采取、保存和送检。</w:t>
      </w:r>
    </w:p>
    <w:p w14:paraId="5F13BE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3523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良好的思想品德、心理素质；</w:t>
      </w:r>
    </w:p>
    <w:p w14:paraId="3F676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良好的职业道德，包括爱岗敬业、诚实守信、遵守相关的</w:t>
      </w:r>
    </w:p>
    <w:p w14:paraId="5ADB5B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法律法规等；</w:t>
      </w:r>
    </w:p>
    <w:p w14:paraId="083F5C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良好的团队协作、协调人际关系的能力;</w:t>
      </w:r>
    </w:p>
    <w:p w14:paraId="411C3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对新知识、新技能的学习能力与创新能力。</w:t>
      </w:r>
    </w:p>
    <w:p w14:paraId="2B376E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0878DA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7D0FA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0EB4C4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6F8645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w:t>
      </w:r>
      <w:r>
        <w:rPr>
          <w:rFonts w:hint="eastAsia" w:asciiTheme="minorEastAsia" w:hAnsiTheme="minorEastAsia" w:cstheme="minorEastAsia"/>
          <w:sz w:val="24"/>
          <w:szCs w:val="24"/>
          <w:lang w:eastAsia="zh-CN"/>
        </w:rPr>
        <w:t>敬畏生命</w:t>
      </w:r>
      <w:r>
        <w:rPr>
          <w:rFonts w:hint="eastAsia" w:asciiTheme="minorEastAsia" w:hAnsiTheme="minorEastAsia" w:eastAsiaTheme="minorEastAsia" w:cstheme="minorEastAsia"/>
          <w:sz w:val="24"/>
          <w:szCs w:val="24"/>
        </w:rPr>
        <w:t>、服务社会”的责任担当，理解所学专业在国家发展、行业进步中的作用，树立为行业发展和社会建设贡献力量的信念；​</w:t>
      </w:r>
    </w:p>
    <w:p w14:paraId="21090E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529F99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197C0A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4EA45A93">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695"/>
        <w:gridCol w:w="2078"/>
        <w:gridCol w:w="1835"/>
        <w:gridCol w:w="1398"/>
        <w:gridCol w:w="1173"/>
      </w:tblGrid>
      <w:tr w14:paraId="4C4F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47" w:type="pct"/>
            <w:vAlign w:val="center"/>
          </w:tcPr>
          <w:p w14:paraId="2C442D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860" w:type="pct"/>
            <w:vAlign w:val="center"/>
          </w:tcPr>
          <w:p w14:paraId="4E6AAE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054" w:type="pct"/>
            <w:vAlign w:val="center"/>
          </w:tcPr>
          <w:p w14:paraId="65B935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931" w:type="pct"/>
            <w:vAlign w:val="center"/>
          </w:tcPr>
          <w:p w14:paraId="7264FC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709" w:type="pct"/>
            <w:vAlign w:val="center"/>
          </w:tcPr>
          <w:p w14:paraId="23D2A9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5" w:type="pct"/>
            <w:vAlign w:val="center"/>
          </w:tcPr>
          <w:p w14:paraId="7E4F3C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58B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03F819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疾病概论</w:t>
            </w:r>
          </w:p>
        </w:tc>
        <w:tc>
          <w:tcPr>
            <w:tcW w:w="860" w:type="pct"/>
            <w:vAlign w:val="center"/>
          </w:tcPr>
          <w:p w14:paraId="47B60854">
            <w:pPr>
              <w:numPr>
                <w:ilvl w:val="0"/>
                <w:numId w:val="18"/>
              </w:numPr>
              <w:snapToGrid w:val="0"/>
              <w:spacing w:line="240" w:lineRule="auto"/>
              <w:jc w:val="center"/>
              <w:rPr>
                <w:rFonts w:hint="eastAsia" w:ascii="宋体" w:hAnsi="宋体"/>
                <w:sz w:val="21"/>
                <w:szCs w:val="21"/>
                <w:lang w:eastAsia="zh-CN"/>
              </w:rPr>
            </w:pPr>
            <w:r>
              <w:rPr>
                <w:rFonts w:hint="eastAsia" w:ascii="宋体" w:hAnsi="宋体"/>
                <w:sz w:val="21"/>
                <w:szCs w:val="21"/>
              </w:rPr>
              <w:t>疾病</w:t>
            </w:r>
            <w:r>
              <w:rPr>
                <w:rFonts w:hint="eastAsia" w:ascii="宋体" w:hAnsi="宋体"/>
                <w:sz w:val="21"/>
                <w:szCs w:val="21"/>
                <w:lang w:eastAsia="zh-CN"/>
              </w:rPr>
              <w:t>概述</w:t>
            </w:r>
          </w:p>
          <w:p w14:paraId="40711E80">
            <w:pPr>
              <w:numPr>
                <w:ilvl w:val="0"/>
                <w:numId w:val="18"/>
              </w:numPr>
              <w:snapToGrid w:val="0"/>
              <w:spacing w:line="240" w:lineRule="auto"/>
              <w:jc w:val="center"/>
              <w:rPr>
                <w:rFonts w:hint="eastAsia" w:ascii="宋体" w:hAnsi="宋体"/>
                <w:sz w:val="21"/>
                <w:szCs w:val="21"/>
              </w:rPr>
            </w:pPr>
            <w:r>
              <w:rPr>
                <w:rFonts w:hint="eastAsia" w:ascii="宋体" w:hAnsi="宋体"/>
                <w:sz w:val="21"/>
                <w:szCs w:val="21"/>
                <w:lang w:eastAsia="zh-CN"/>
              </w:rPr>
              <w:t>病因学</w:t>
            </w:r>
          </w:p>
          <w:p w14:paraId="24ADCCAB">
            <w:pPr>
              <w:snapToGrid w:val="0"/>
              <w:spacing w:line="240" w:lineRule="auto"/>
              <w:jc w:val="center"/>
              <w:rPr>
                <w:rFonts w:hint="eastAsia" w:ascii="宋体" w:hAnsi="宋体"/>
                <w:sz w:val="21"/>
                <w:szCs w:val="21"/>
              </w:rPr>
            </w:pPr>
            <w:r>
              <w:rPr>
                <w:rFonts w:hint="eastAsia" w:ascii="宋体" w:hAnsi="宋体"/>
                <w:sz w:val="21"/>
                <w:szCs w:val="21"/>
              </w:rPr>
              <w:t>3.</w:t>
            </w:r>
            <w:r>
              <w:rPr>
                <w:rFonts w:hint="eastAsia" w:ascii="宋体" w:hAnsi="宋体"/>
                <w:sz w:val="21"/>
                <w:szCs w:val="21"/>
                <w:lang w:eastAsia="zh-CN"/>
              </w:rPr>
              <w:t>发病学</w:t>
            </w:r>
          </w:p>
          <w:p w14:paraId="0B4A3B5E">
            <w:pPr>
              <w:snapToGrid w:val="0"/>
              <w:spacing w:line="240" w:lineRule="auto"/>
              <w:jc w:val="center"/>
              <w:rPr>
                <w:rFonts w:hint="eastAsia" w:ascii="宋体" w:hAnsi="宋体"/>
                <w:sz w:val="21"/>
                <w:szCs w:val="21"/>
                <w:lang w:eastAsia="zh-CN"/>
              </w:rPr>
            </w:pPr>
            <w:r>
              <w:rPr>
                <w:rFonts w:hint="eastAsia" w:ascii="宋体" w:hAnsi="宋体"/>
                <w:sz w:val="21"/>
                <w:szCs w:val="21"/>
              </w:rPr>
              <w:t>4.</w:t>
            </w:r>
            <w:r>
              <w:rPr>
                <w:rFonts w:hint="eastAsia" w:ascii="宋体" w:hAnsi="宋体"/>
                <w:sz w:val="21"/>
                <w:szCs w:val="21"/>
                <w:lang w:eastAsia="zh-CN"/>
              </w:rPr>
              <w:t>疾病的过程</w:t>
            </w:r>
          </w:p>
          <w:p w14:paraId="7BE1E70E">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5.应激</w:t>
            </w:r>
          </w:p>
        </w:tc>
        <w:tc>
          <w:tcPr>
            <w:tcW w:w="1054" w:type="pct"/>
            <w:vAlign w:val="center"/>
          </w:tcPr>
          <w:p w14:paraId="7F37F1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1.疾病的病因</w:t>
            </w:r>
          </w:p>
          <w:p w14:paraId="57EAB96E">
            <w:pPr>
              <w:snapToGrid w:val="0"/>
              <w:spacing w:line="240" w:lineRule="auto"/>
              <w:jc w:val="center"/>
              <w:rPr>
                <w:rFonts w:hint="eastAsia" w:ascii="宋体" w:hAnsi="宋体"/>
                <w:sz w:val="21"/>
                <w:szCs w:val="21"/>
              </w:rPr>
            </w:pPr>
            <w:r>
              <w:rPr>
                <w:rFonts w:hint="eastAsia" w:ascii="宋体" w:hAnsi="宋体" w:eastAsia="宋体" w:cs="宋体"/>
                <w:sz w:val="21"/>
                <w:szCs w:val="21"/>
                <w:lang w:val="en-US" w:eastAsia="zh-CN"/>
              </w:rPr>
              <w:t>2.</w:t>
            </w:r>
            <w:r>
              <w:rPr>
                <w:rFonts w:hint="eastAsia" w:ascii="宋体" w:hAnsi="宋体"/>
                <w:sz w:val="21"/>
                <w:szCs w:val="21"/>
              </w:rPr>
              <w:t>疾病发生发展的规律。</w:t>
            </w:r>
          </w:p>
          <w:p w14:paraId="7C41AE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sz w:val="21"/>
                <w:szCs w:val="21"/>
              </w:rPr>
              <w:t>3.疾病的经过和转归。</w:t>
            </w:r>
          </w:p>
        </w:tc>
        <w:tc>
          <w:tcPr>
            <w:tcW w:w="931" w:type="pct"/>
            <w:vAlign w:val="center"/>
          </w:tcPr>
          <w:p w14:paraId="2CFFC2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1.判断疾病的病因，进行疾病的防治。</w:t>
            </w:r>
          </w:p>
          <w:p w14:paraId="650E2E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sz w:val="21"/>
                <w:szCs w:val="21"/>
                <w:lang w:val="en-US" w:eastAsia="zh-CN"/>
              </w:rPr>
              <w:t>2</w:t>
            </w:r>
            <w:r>
              <w:rPr>
                <w:rFonts w:hint="eastAsia" w:ascii="宋体" w:hAnsi="宋体"/>
                <w:sz w:val="21"/>
                <w:szCs w:val="21"/>
              </w:rPr>
              <w:t>.</w:t>
            </w:r>
            <w:r>
              <w:rPr>
                <w:rFonts w:hint="eastAsia" w:ascii="宋体" w:hAnsi="宋体"/>
                <w:sz w:val="21"/>
                <w:szCs w:val="21"/>
                <w:lang w:eastAsia="zh-CN"/>
              </w:rPr>
              <w:t>判断</w:t>
            </w:r>
            <w:r>
              <w:rPr>
                <w:rFonts w:hint="eastAsia" w:ascii="宋体" w:hAnsi="宋体"/>
                <w:sz w:val="21"/>
                <w:szCs w:val="21"/>
              </w:rPr>
              <w:t>疾病</w:t>
            </w:r>
            <w:r>
              <w:rPr>
                <w:rFonts w:hint="eastAsia" w:ascii="宋体" w:hAnsi="宋体"/>
                <w:sz w:val="21"/>
                <w:szCs w:val="21"/>
                <w:lang w:eastAsia="zh-CN"/>
              </w:rPr>
              <w:t>发展阶段，制订合适的治疗方案。</w:t>
            </w:r>
          </w:p>
        </w:tc>
        <w:tc>
          <w:tcPr>
            <w:tcW w:w="709" w:type="pct"/>
            <w:vAlign w:val="center"/>
          </w:tcPr>
          <w:p w14:paraId="59B73F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6D6CF9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4B550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2938D5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6E0E76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p w14:paraId="20DFC2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创新意识</w:t>
            </w:r>
          </w:p>
          <w:p w14:paraId="6CF6EA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生态文明</w:t>
            </w:r>
          </w:p>
        </w:tc>
        <w:tc>
          <w:tcPr>
            <w:tcW w:w="595" w:type="pct"/>
            <w:vAlign w:val="center"/>
          </w:tcPr>
          <w:p w14:paraId="7452158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7899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2D020A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血液循环障碍</w:t>
            </w:r>
          </w:p>
        </w:tc>
        <w:tc>
          <w:tcPr>
            <w:tcW w:w="860" w:type="pct"/>
            <w:vAlign w:val="center"/>
          </w:tcPr>
          <w:p w14:paraId="4918653D">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rPr>
            </w:pPr>
            <w:r>
              <w:rPr>
                <w:rFonts w:hint="eastAsia" w:ascii="宋体" w:hAnsi="宋体"/>
                <w:sz w:val="21"/>
                <w:szCs w:val="21"/>
              </w:rPr>
              <w:t>充血</w:t>
            </w:r>
          </w:p>
          <w:p w14:paraId="1D833619">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rPr>
            </w:pPr>
            <w:r>
              <w:rPr>
                <w:rFonts w:hint="eastAsia" w:ascii="宋体" w:hAnsi="宋体"/>
                <w:sz w:val="21"/>
                <w:szCs w:val="21"/>
              </w:rPr>
              <w:t>淤血</w:t>
            </w:r>
          </w:p>
          <w:p w14:paraId="38F12CD2">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rPr>
            </w:pPr>
            <w:r>
              <w:rPr>
                <w:rFonts w:hint="eastAsia" w:ascii="宋体" w:hAnsi="宋体"/>
                <w:sz w:val="21"/>
                <w:szCs w:val="21"/>
              </w:rPr>
              <w:t>出血</w:t>
            </w:r>
          </w:p>
          <w:p w14:paraId="6177E1D6">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lang w:eastAsia="zh-CN"/>
              </w:rPr>
            </w:pPr>
            <w:r>
              <w:rPr>
                <w:rFonts w:hint="eastAsia" w:ascii="宋体" w:hAnsi="宋体"/>
                <w:sz w:val="21"/>
                <w:szCs w:val="21"/>
              </w:rPr>
              <w:t>血栓形成</w:t>
            </w:r>
          </w:p>
          <w:p w14:paraId="2D59739A">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lang w:eastAsia="zh-CN"/>
              </w:rPr>
            </w:pPr>
            <w:r>
              <w:rPr>
                <w:rFonts w:hint="eastAsia" w:ascii="宋体" w:hAnsi="宋体"/>
                <w:sz w:val="21"/>
                <w:szCs w:val="21"/>
                <w:lang w:eastAsia="zh-CN"/>
              </w:rPr>
              <w:t>栓塞</w:t>
            </w:r>
          </w:p>
          <w:p w14:paraId="136A58A3">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sz w:val="21"/>
                <w:szCs w:val="21"/>
              </w:rPr>
            </w:pPr>
            <w:r>
              <w:rPr>
                <w:rFonts w:hint="eastAsia" w:ascii="宋体" w:hAnsi="宋体"/>
                <w:sz w:val="21"/>
                <w:szCs w:val="21"/>
              </w:rPr>
              <w:t>梗死</w:t>
            </w:r>
          </w:p>
          <w:p w14:paraId="02123AA5">
            <w:pPr>
              <w:keepNext w:val="0"/>
              <w:keepLines w:val="0"/>
              <w:pageBreakBefore w:val="0"/>
              <w:widowControl w:val="0"/>
              <w:numPr>
                <w:ilvl w:val="0"/>
                <w:numId w:val="19"/>
              </w:numPr>
              <w:kinsoku/>
              <w:wordWrap/>
              <w:overflowPunct/>
              <w:topLinePunct w:val="0"/>
              <w:autoSpaceDE/>
              <w:autoSpaceDN/>
              <w:bidi w:val="0"/>
              <w:adjustRightInd w:val="0"/>
              <w:snapToGrid w:val="0"/>
              <w:ind w:left="425" w:leftChars="0" w:hanging="425" w:firstLineChars="0"/>
              <w:jc w:val="center"/>
              <w:textAlignment w:val="auto"/>
              <w:rPr>
                <w:rFonts w:hint="eastAsia" w:ascii="宋体" w:hAnsi="宋体" w:eastAsiaTheme="minorEastAsia"/>
                <w:sz w:val="21"/>
                <w:szCs w:val="21"/>
                <w:lang w:val="en-US" w:eastAsia="zh-CN"/>
              </w:rPr>
            </w:pPr>
            <w:r>
              <w:rPr>
                <w:rFonts w:hint="eastAsia" w:ascii="宋体" w:hAnsi="宋体"/>
                <w:sz w:val="21"/>
                <w:szCs w:val="21"/>
                <w:lang w:eastAsia="zh-CN"/>
              </w:rPr>
              <w:t>贫血</w:t>
            </w:r>
          </w:p>
        </w:tc>
        <w:tc>
          <w:tcPr>
            <w:tcW w:w="1054" w:type="pct"/>
            <w:vAlign w:val="center"/>
          </w:tcPr>
          <w:p w14:paraId="25CD48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sz w:val="21"/>
                <w:szCs w:val="21"/>
              </w:rPr>
              <w:t>充血、淤血、出血</w:t>
            </w:r>
            <w:r>
              <w:rPr>
                <w:rFonts w:hint="eastAsia" w:ascii="宋体" w:hAnsi="宋体"/>
                <w:sz w:val="21"/>
                <w:szCs w:val="21"/>
                <w:lang w:eastAsia="zh-CN"/>
              </w:rPr>
              <w:t>、</w:t>
            </w:r>
            <w:r>
              <w:rPr>
                <w:rFonts w:hint="eastAsia" w:ascii="宋体" w:hAnsi="宋体"/>
                <w:sz w:val="21"/>
                <w:szCs w:val="21"/>
              </w:rPr>
              <w:t>贫血、血栓形成</w:t>
            </w:r>
            <w:r>
              <w:rPr>
                <w:rFonts w:hint="eastAsia" w:ascii="宋体" w:hAnsi="宋体"/>
                <w:sz w:val="21"/>
                <w:szCs w:val="21"/>
                <w:lang w:eastAsia="zh-CN"/>
              </w:rPr>
              <w:t>、栓塞</w:t>
            </w:r>
            <w:r>
              <w:rPr>
                <w:rFonts w:hint="eastAsia" w:ascii="宋体" w:hAnsi="宋体"/>
                <w:sz w:val="21"/>
                <w:szCs w:val="21"/>
              </w:rPr>
              <w:t>和梗死的概念和病理变化。</w:t>
            </w:r>
          </w:p>
        </w:tc>
        <w:tc>
          <w:tcPr>
            <w:tcW w:w="931" w:type="pct"/>
            <w:vAlign w:val="center"/>
          </w:tcPr>
          <w:p w14:paraId="5662DBAD">
            <w:pPr>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sz w:val="21"/>
                <w:szCs w:val="21"/>
              </w:rPr>
            </w:pPr>
            <w:r>
              <w:rPr>
                <w:rFonts w:hint="eastAsia" w:ascii="宋体" w:hAnsi="宋体"/>
                <w:sz w:val="21"/>
                <w:szCs w:val="21"/>
                <w:lang w:val="en-US" w:eastAsia="zh-CN"/>
              </w:rPr>
              <w:t>1.准确识别各种局部血循环障碍</w:t>
            </w:r>
            <w:r>
              <w:rPr>
                <w:rFonts w:hint="eastAsia" w:ascii="宋体" w:hAnsi="宋体"/>
                <w:sz w:val="21"/>
                <w:szCs w:val="21"/>
              </w:rPr>
              <w:t>。</w:t>
            </w:r>
          </w:p>
          <w:p w14:paraId="4E4C9D5D">
            <w:pPr>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Theme="minorEastAsia"/>
                <w:sz w:val="21"/>
                <w:szCs w:val="21"/>
                <w:lang w:val="en-US" w:eastAsia="zh-CN"/>
              </w:rPr>
            </w:pPr>
            <w:r>
              <w:rPr>
                <w:rFonts w:hint="eastAsia" w:ascii="宋体" w:hAnsi="宋体"/>
                <w:sz w:val="21"/>
                <w:szCs w:val="21"/>
                <w:lang w:val="en-US" w:eastAsia="zh-CN"/>
              </w:rPr>
              <w:t>2.了解各病因，病变及对机体的影响。</w:t>
            </w:r>
          </w:p>
        </w:tc>
        <w:tc>
          <w:tcPr>
            <w:tcW w:w="709" w:type="pct"/>
            <w:vAlign w:val="center"/>
          </w:tcPr>
          <w:p w14:paraId="3C61A3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30ECC7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1DADF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7C692A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3104704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595" w:type="pct"/>
            <w:vAlign w:val="center"/>
          </w:tcPr>
          <w:p w14:paraId="2536F056">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5CCA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0E4F8A5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水肿</w:t>
            </w:r>
          </w:p>
        </w:tc>
        <w:tc>
          <w:tcPr>
            <w:tcW w:w="860" w:type="pct"/>
            <w:vAlign w:val="center"/>
          </w:tcPr>
          <w:p w14:paraId="2592F2D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水肿</w:t>
            </w:r>
          </w:p>
        </w:tc>
        <w:tc>
          <w:tcPr>
            <w:tcW w:w="1054" w:type="pct"/>
            <w:vAlign w:val="center"/>
          </w:tcPr>
          <w:p w14:paraId="6D224B88">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水肿的概念（浮肿、积水）和类型。</w:t>
            </w:r>
          </w:p>
          <w:p w14:paraId="03A07A9F">
            <w:pPr>
              <w:snapToGrid w:val="0"/>
              <w:spacing w:line="240" w:lineRule="auto"/>
              <w:jc w:val="center"/>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水肿发生的原因和机理及病理变化。</w:t>
            </w:r>
          </w:p>
          <w:p w14:paraId="41EE4BCB">
            <w:pPr>
              <w:snapToGrid w:val="0"/>
              <w:spacing w:line="240" w:lineRule="auto"/>
              <w:jc w:val="center"/>
              <w:rPr>
                <w:rFonts w:hint="eastAsia" w:ascii="宋体" w:hAnsi="宋体" w:eastAsia="宋体" w:cs="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水肿的结局和对机体的影响。</w:t>
            </w:r>
          </w:p>
        </w:tc>
        <w:tc>
          <w:tcPr>
            <w:tcW w:w="931" w:type="pct"/>
            <w:vAlign w:val="center"/>
          </w:tcPr>
          <w:p w14:paraId="1CB0BEF6">
            <w:pPr>
              <w:keepNext w:val="0"/>
              <w:keepLines w:val="0"/>
              <w:pageBreakBefore w:val="0"/>
              <w:widowControl w:val="0"/>
              <w:numPr>
                <w:ilvl w:val="0"/>
                <w:numId w:val="20"/>
              </w:numPr>
              <w:kinsoku/>
              <w:wordWrap/>
              <w:overflowPunct/>
              <w:topLinePunct w:val="0"/>
              <w:autoSpaceDE/>
              <w:autoSpaceDN/>
              <w:bidi w:val="0"/>
              <w:adjustRightInd w:val="0"/>
              <w:snapToGrid w:val="0"/>
              <w:jc w:val="center"/>
              <w:textAlignment w:val="auto"/>
              <w:rPr>
                <w:rFonts w:hint="eastAsia" w:ascii="宋体" w:hAnsi="宋体"/>
                <w:sz w:val="21"/>
                <w:szCs w:val="21"/>
                <w:lang w:val="en-US" w:eastAsia="zh-CN"/>
              </w:rPr>
            </w:pPr>
            <w:r>
              <w:rPr>
                <w:rFonts w:hint="eastAsia" w:ascii="宋体" w:hAnsi="宋体"/>
                <w:sz w:val="21"/>
                <w:szCs w:val="21"/>
                <w:lang w:val="en-US" w:eastAsia="zh-CN"/>
              </w:rPr>
              <w:t>识别浮肿、水泡</w:t>
            </w:r>
          </w:p>
          <w:p w14:paraId="24198122">
            <w:pPr>
              <w:keepNext w:val="0"/>
              <w:keepLines w:val="0"/>
              <w:pageBreakBefore w:val="0"/>
              <w:widowControl w:val="0"/>
              <w:numPr>
                <w:ilvl w:val="0"/>
                <w:numId w:val="2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sz w:val="21"/>
                <w:szCs w:val="21"/>
                <w:lang w:val="en-US" w:eastAsia="zh-CN"/>
              </w:rPr>
              <w:t>鉴别渗出液和漏出液。</w:t>
            </w:r>
          </w:p>
        </w:tc>
        <w:tc>
          <w:tcPr>
            <w:tcW w:w="709" w:type="pct"/>
            <w:vAlign w:val="center"/>
          </w:tcPr>
          <w:p w14:paraId="311E4E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B3A33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B8C91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448DE9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595" w:type="pct"/>
            <w:vAlign w:val="center"/>
          </w:tcPr>
          <w:p w14:paraId="6EBA8FA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233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7" w:type="pct"/>
            <w:vAlign w:val="center"/>
          </w:tcPr>
          <w:p w14:paraId="1F8920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脱水与酸中毒</w:t>
            </w:r>
          </w:p>
        </w:tc>
        <w:tc>
          <w:tcPr>
            <w:tcW w:w="860" w:type="pct"/>
            <w:vAlign w:val="center"/>
          </w:tcPr>
          <w:p w14:paraId="5015594C">
            <w:pPr>
              <w:keepNext w:val="0"/>
              <w:keepLines w:val="0"/>
              <w:pageBreakBefore w:val="0"/>
              <w:widowControl w:val="0"/>
              <w:numPr>
                <w:ilvl w:val="0"/>
                <w:numId w:val="21"/>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脱水</w:t>
            </w:r>
          </w:p>
          <w:p w14:paraId="796467BA">
            <w:pPr>
              <w:keepNext w:val="0"/>
              <w:keepLines w:val="0"/>
              <w:pageBreakBefore w:val="0"/>
              <w:widowControl w:val="0"/>
              <w:numPr>
                <w:ilvl w:val="0"/>
                <w:numId w:val="21"/>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酸中毒</w:t>
            </w:r>
          </w:p>
        </w:tc>
        <w:tc>
          <w:tcPr>
            <w:tcW w:w="1054" w:type="pct"/>
            <w:vAlign w:val="center"/>
          </w:tcPr>
          <w:p w14:paraId="41C9774E">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脱水的概念和类型及表现特征。</w:t>
            </w:r>
          </w:p>
          <w:p w14:paraId="24146F96">
            <w:pPr>
              <w:snapToGrid w:val="0"/>
              <w:spacing w:line="240" w:lineRule="auto"/>
              <w:jc w:val="center"/>
              <w:rPr>
                <w:rFonts w:hint="eastAsia" w:ascii="宋体" w:hAnsi="宋体" w:eastAsia="宋体" w:cs="宋体"/>
                <w:sz w:val="21"/>
                <w:szCs w:val="21"/>
                <w:lang w:val="en-US" w:eastAsia="zh-CN"/>
              </w:rPr>
            </w:pPr>
            <w:r>
              <w:rPr>
                <w:rFonts w:hint="eastAsia" w:ascii="宋体" w:hAnsi="宋体"/>
                <w:sz w:val="21"/>
                <w:szCs w:val="21"/>
                <w:lang w:val="en-US" w:eastAsia="zh-CN"/>
              </w:rPr>
              <w:t>2.</w:t>
            </w:r>
            <w:r>
              <w:rPr>
                <w:rFonts w:hint="eastAsia" w:ascii="宋体" w:hAnsi="宋体"/>
                <w:sz w:val="21"/>
                <w:szCs w:val="21"/>
              </w:rPr>
              <w:t>不同类型脱水的病理过程</w:t>
            </w:r>
            <w:r>
              <w:rPr>
                <w:rFonts w:hint="eastAsia" w:ascii="宋体" w:hAnsi="宋体"/>
                <w:sz w:val="21"/>
                <w:szCs w:val="21"/>
                <w:lang w:eastAsia="zh-CN"/>
              </w:rPr>
              <w:t>和</w:t>
            </w:r>
            <w:r>
              <w:rPr>
                <w:rFonts w:hint="eastAsia" w:ascii="宋体" w:hAnsi="宋体"/>
                <w:sz w:val="21"/>
                <w:szCs w:val="21"/>
              </w:rPr>
              <w:t>补液原则。</w:t>
            </w:r>
          </w:p>
        </w:tc>
        <w:tc>
          <w:tcPr>
            <w:tcW w:w="931" w:type="pct"/>
            <w:vAlign w:val="center"/>
          </w:tcPr>
          <w:p w14:paraId="4213F03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1.识别不同类型的脱水并正确补液。</w:t>
            </w:r>
          </w:p>
          <w:p w14:paraId="59CADA0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2.识别酸中毒的类型并适当处置。</w:t>
            </w:r>
          </w:p>
        </w:tc>
        <w:tc>
          <w:tcPr>
            <w:tcW w:w="709" w:type="pct"/>
            <w:vAlign w:val="center"/>
          </w:tcPr>
          <w:p w14:paraId="5228B0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0C9B7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46A3F1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00F630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595" w:type="pct"/>
            <w:vAlign w:val="center"/>
          </w:tcPr>
          <w:p w14:paraId="49552D3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37B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5797C1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细胞与组织损伤</w:t>
            </w:r>
          </w:p>
        </w:tc>
        <w:tc>
          <w:tcPr>
            <w:tcW w:w="860" w:type="pct"/>
            <w:vAlign w:val="center"/>
          </w:tcPr>
          <w:p w14:paraId="3BF38D7A">
            <w:pPr>
              <w:keepNext w:val="0"/>
              <w:keepLines w:val="0"/>
              <w:pageBreakBefore w:val="0"/>
              <w:widowControl w:val="0"/>
              <w:numPr>
                <w:ilvl w:val="0"/>
                <w:numId w:val="22"/>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萎缩</w:t>
            </w:r>
          </w:p>
          <w:p w14:paraId="7CE8A59B">
            <w:pPr>
              <w:keepNext w:val="0"/>
              <w:keepLines w:val="0"/>
              <w:pageBreakBefore w:val="0"/>
              <w:widowControl w:val="0"/>
              <w:numPr>
                <w:ilvl w:val="0"/>
                <w:numId w:val="22"/>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变性</w:t>
            </w:r>
          </w:p>
          <w:p w14:paraId="47291B79">
            <w:pPr>
              <w:keepNext w:val="0"/>
              <w:keepLines w:val="0"/>
              <w:pageBreakBefore w:val="0"/>
              <w:widowControl w:val="0"/>
              <w:numPr>
                <w:ilvl w:val="0"/>
                <w:numId w:val="22"/>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坏死</w:t>
            </w:r>
          </w:p>
        </w:tc>
        <w:tc>
          <w:tcPr>
            <w:tcW w:w="1054" w:type="pct"/>
            <w:vAlign w:val="center"/>
          </w:tcPr>
          <w:p w14:paraId="608D8496">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萎缩、变性、坏死的概念及病理变化特点。</w:t>
            </w:r>
          </w:p>
          <w:p w14:paraId="4D75A22C">
            <w:pPr>
              <w:snapToGrid w:val="0"/>
              <w:spacing w:line="240" w:lineRule="auto"/>
              <w:jc w:val="center"/>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上述各种损伤发生的机理。</w:t>
            </w:r>
          </w:p>
          <w:p w14:paraId="11FD5F98">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上述各种损伤的常见原因、基本类型和结局。</w:t>
            </w:r>
          </w:p>
        </w:tc>
        <w:tc>
          <w:tcPr>
            <w:tcW w:w="931" w:type="pct"/>
            <w:vAlign w:val="center"/>
          </w:tcPr>
          <w:p w14:paraId="00840A3F">
            <w:pPr>
              <w:snapToGrid w:val="0"/>
              <w:spacing w:line="240" w:lineRule="auto"/>
              <w:jc w:val="center"/>
              <w:rPr>
                <w:rFonts w:hint="eastAsia" w:ascii="宋体" w:hAnsi="宋体"/>
                <w:sz w:val="21"/>
                <w:szCs w:val="21"/>
              </w:rPr>
            </w:pPr>
            <w:r>
              <w:rPr>
                <w:rFonts w:hint="eastAsia" w:ascii="宋体" w:hAnsi="宋体"/>
                <w:sz w:val="21"/>
                <w:szCs w:val="21"/>
              </w:rPr>
              <w:t>识别萎缩、变性、坏死等各种损伤的眼观和组织学病理变化</w:t>
            </w:r>
            <w:r>
              <w:rPr>
                <w:rFonts w:hint="eastAsia" w:ascii="宋体" w:hAnsi="宋体"/>
                <w:sz w:val="21"/>
                <w:szCs w:val="21"/>
                <w:lang w:eastAsia="zh-CN"/>
              </w:rPr>
              <w:t>。</w:t>
            </w:r>
          </w:p>
          <w:p w14:paraId="288AED26">
            <w:pPr>
              <w:snapToGrid w:val="0"/>
              <w:spacing w:line="240" w:lineRule="auto"/>
              <w:jc w:val="center"/>
              <w:rPr>
                <w:rFonts w:hint="eastAsia" w:ascii="宋体" w:hAnsi="宋体"/>
                <w:sz w:val="21"/>
                <w:szCs w:val="21"/>
                <w:lang w:val="en-US" w:eastAsia="zh-CN"/>
              </w:rPr>
            </w:pPr>
          </w:p>
        </w:tc>
        <w:tc>
          <w:tcPr>
            <w:tcW w:w="709" w:type="pct"/>
            <w:vAlign w:val="center"/>
          </w:tcPr>
          <w:p w14:paraId="0CBB17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1A0447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1DF41B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4A3A05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595" w:type="pct"/>
            <w:vAlign w:val="center"/>
          </w:tcPr>
          <w:p w14:paraId="505E548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7F31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3CB5CE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代偿、适应与修复</w:t>
            </w:r>
          </w:p>
        </w:tc>
        <w:tc>
          <w:tcPr>
            <w:tcW w:w="860" w:type="pct"/>
            <w:vAlign w:val="center"/>
          </w:tcPr>
          <w:p w14:paraId="58A5039F">
            <w:pPr>
              <w:keepNext w:val="0"/>
              <w:keepLines w:val="0"/>
              <w:pageBreakBefore w:val="0"/>
              <w:widowControl w:val="0"/>
              <w:numPr>
                <w:ilvl w:val="0"/>
                <w:numId w:val="23"/>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代偿</w:t>
            </w:r>
          </w:p>
          <w:p w14:paraId="5BC85E00">
            <w:pPr>
              <w:keepNext w:val="0"/>
              <w:keepLines w:val="0"/>
              <w:pageBreakBefore w:val="0"/>
              <w:widowControl w:val="0"/>
              <w:numPr>
                <w:ilvl w:val="0"/>
                <w:numId w:val="23"/>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适应</w:t>
            </w:r>
          </w:p>
          <w:p w14:paraId="5715B627">
            <w:pPr>
              <w:keepNext w:val="0"/>
              <w:keepLines w:val="0"/>
              <w:pageBreakBefore w:val="0"/>
              <w:widowControl w:val="0"/>
              <w:numPr>
                <w:ilvl w:val="0"/>
                <w:numId w:val="23"/>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修复</w:t>
            </w:r>
          </w:p>
        </w:tc>
        <w:tc>
          <w:tcPr>
            <w:tcW w:w="1054" w:type="pct"/>
            <w:vAlign w:val="center"/>
          </w:tcPr>
          <w:p w14:paraId="777D515C">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适应、代偿、化生、改建、再生、肥大、病理产物改造、机化、包囊形成、钙化和修复的概念及意义。</w:t>
            </w:r>
          </w:p>
          <w:p w14:paraId="426F037B">
            <w:pPr>
              <w:snapToGrid w:val="0"/>
              <w:spacing w:line="240" w:lineRule="auto"/>
              <w:jc w:val="center"/>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适应、代偿、再生、修复的各种形式及其过程。</w:t>
            </w:r>
          </w:p>
          <w:p w14:paraId="066062B9">
            <w:pPr>
              <w:snapToGrid w:val="0"/>
              <w:spacing w:line="240" w:lineRule="auto"/>
              <w:jc w:val="center"/>
              <w:rPr>
                <w:rFonts w:hint="eastAsia" w:ascii="宋体" w:hAnsi="宋体" w:eastAsia="宋体" w:cs="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肉芽组织的结构和功能。</w:t>
            </w:r>
          </w:p>
        </w:tc>
        <w:tc>
          <w:tcPr>
            <w:tcW w:w="931" w:type="pct"/>
            <w:vAlign w:val="center"/>
          </w:tcPr>
          <w:p w14:paraId="6BD7DC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lang w:eastAsia="zh-CN"/>
              </w:rPr>
              <w:t>识别</w:t>
            </w:r>
            <w:r>
              <w:rPr>
                <w:rFonts w:hint="eastAsia" w:ascii="宋体" w:hAnsi="宋体"/>
                <w:sz w:val="21"/>
                <w:szCs w:val="21"/>
              </w:rPr>
              <w:t>适应、代偿、再生、修复的各种形式及其过程</w:t>
            </w:r>
            <w:r>
              <w:rPr>
                <w:rFonts w:hint="eastAsia" w:ascii="宋体" w:hAnsi="宋体"/>
                <w:sz w:val="21"/>
                <w:szCs w:val="21"/>
                <w:lang w:eastAsia="zh-CN"/>
              </w:rPr>
              <w:t>。</w:t>
            </w:r>
          </w:p>
          <w:p w14:paraId="3CC112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sz w:val="21"/>
                <w:szCs w:val="21"/>
                <w:lang w:val="en-US" w:eastAsia="zh-CN"/>
              </w:rPr>
            </w:pPr>
            <w:r>
              <w:rPr>
                <w:rFonts w:hint="eastAsia" w:ascii="宋体" w:hAnsi="宋体"/>
                <w:sz w:val="21"/>
                <w:szCs w:val="21"/>
                <w:lang w:val="en-US" w:eastAsia="zh-CN"/>
              </w:rPr>
              <w:t>2.识别</w:t>
            </w:r>
            <w:r>
              <w:rPr>
                <w:rFonts w:hint="eastAsia" w:ascii="宋体" w:hAnsi="宋体"/>
                <w:sz w:val="21"/>
                <w:szCs w:val="21"/>
              </w:rPr>
              <w:t>肉芽组织的结构</w:t>
            </w:r>
            <w:r>
              <w:rPr>
                <w:rFonts w:hint="eastAsia" w:ascii="宋体" w:hAnsi="宋体"/>
                <w:sz w:val="21"/>
                <w:szCs w:val="21"/>
                <w:lang w:eastAsia="zh-CN"/>
              </w:rPr>
              <w:t>。</w:t>
            </w:r>
          </w:p>
        </w:tc>
        <w:tc>
          <w:tcPr>
            <w:tcW w:w="709" w:type="pct"/>
            <w:vAlign w:val="center"/>
          </w:tcPr>
          <w:p w14:paraId="723769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174CE4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308D4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4CF156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595" w:type="pct"/>
            <w:vAlign w:val="center"/>
          </w:tcPr>
          <w:p w14:paraId="1C0AEFA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D74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5A6BDA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缺氧</w:t>
            </w:r>
          </w:p>
        </w:tc>
        <w:tc>
          <w:tcPr>
            <w:tcW w:w="860" w:type="pct"/>
            <w:vAlign w:val="center"/>
          </w:tcPr>
          <w:p w14:paraId="025D7F0B">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缺氧</w:t>
            </w:r>
          </w:p>
        </w:tc>
        <w:tc>
          <w:tcPr>
            <w:tcW w:w="1054" w:type="pct"/>
            <w:vAlign w:val="center"/>
          </w:tcPr>
          <w:p w14:paraId="737404ED">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缺氧的概念、类型及其病理表现特征。</w:t>
            </w:r>
          </w:p>
          <w:p w14:paraId="59804C2A">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w:t>
            </w:r>
            <w:r>
              <w:rPr>
                <w:rFonts w:hint="eastAsia" w:ascii="宋体" w:hAnsi="宋体"/>
                <w:sz w:val="21"/>
                <w:szCs w:val="21"/>
              </w:rPr>
              <w:t>缺氧对机体的影响。</w:t>
            </w:r>
          </w:p>
        </w:tc>
        <w:tc>
          <w:tcPr>
            <w:tcW w:w="931" w:type="pct"/>
            <w:vAlign w:val="center"/>
          </w:tcPr>
          <w:p w14:paraId="1E7487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识别缺氧的类型并进行正确的处理。</w:t>
            </w:r>
          </w:p>
        </w:tc>
        <w:tc>
          <w:tcPr>
            <w:tcW w:w="709" w:type="pct"/>
            <w:vAlign w:val="center"/>
          </w:tcPr>
          <w:p w14:paraId="7F9CD8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68AA21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534660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6DFEC1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595" w:type="pct"/>
            <w:vAlign w:val="center"/>
          </w:tcPr>
          <w:p w14:paraId="2986AED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23B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613645D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炎症</w:t>
            </w:r>
          </w:p>
        </w:tc>
        <w:tc>
          <w:tcPr>
            <w:tcW w:w="860" w:type="pct"/>
            <w:vAlign w:val="center"/>
          </w:tcPr>
          <w:p w14:paraId="1DDAB247">
            <w:pPr>
              <w:keepNext w:val="0"/>
              <w:keepLines w:val="0"/>
              <w:pageBreakBefore w:val="0"/>
              <w:widowControl w:val="0"/>
              <w:numPr>
                <w:ilvl w:val="0"/>
                <w:numId w:val="24"/>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炎症的基本病变</w:t>
            </w:r>
          </w:p>
          <w:p w14:paraId="0D75D07E">
            <w:pPr>
              <w:keepNext w:val="0"/>
              <w:keepLines w:val="0"/>
              <w:pageBreakBefore w:val="0"/>
              <w:widowControl w:val="0"/>
              <w:numPr>
                <w:ilvl w:val="0"/>
                <w:numId w:val="24"/>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炎症分类</w:t>
            </w:r>
          </w:p>
          <w:p w14:paraId="49651259">
            <w:pPr>
              <w:keepNext w:val="0"/>
              <w:keepLines w:val="0"/>
              <w:pageBreakBefore w:val="0"/>
              <w:widowControl w:val="0"/>
              <w:numPr>
                <w:ilvl w:val="0"/>
                <w:numId w:val="24"/>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炎症的经过和结局</w:t>
            </w:r>
          </w:p>
        </w:tc>
        <w:tc>
          <w:tcPr>
            <w:tcW w:w="1054" w:type="pct"/>
            <w:vAlign w:val="center"/>
          </w:tcPr>
          <w:p w14:paraId="5D440B9B">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炎症的概念和炎症的原因。</w:t>
            </w:r>
          </w:p>
          <w:p w14:paraId="79E6D73A">
            <w:pPr>
              <w:snapToGrid w:val="0"/>
              <w:spacing w:line="240" w:lineRule="auto"/>
              <w:jc w:val="center"/>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炎症局部基本病理变化。</w:t>
            </w:r>
          </w:p>
          <w:p w14:paraId="5D3FA4EF">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炎症的分类及其特征。</w:t>
            </w:r>
          </w:p>
        </w:tc>
        <w:tc>
          <w:tcPr>
            <w:tcW w:w="931" w:type="pct"/>
            <w:vAlign w:val="center"/>
          </w:tcPr>
          <w:p w14:paraId="6BCC823D">
            <w:pPr>
              <w:snapToGrid w:val="0"/>
              <w:spacing w:line="240" w:lineRule="auto"/>
              <w:jc w:val="center"/>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炎症的分类及其特征</w:t>
            </w:r>
            <w:r>
              <w:rPr>
                <w:rFonts w:hint="eastAsia" w:ascii="宋体" w:hAnsi="宋体"/>
                <w:sz w:val="21"/>
                <w:szCs w:val="21"/>
                <w:lang w:eastAsia="zh-CN"/>
              </w:rPr>
              <w:t>。</w:t>
            </w:r>
          </w:p>
          <w:p w14:paraId="1FB5E852">
            <w:pPr>
              <w:snapToGrid w:val="0"/>
              <w:spacing w:line="240" w:lineRule="auto"/>
              <w:jc w:val="center"/>
              <w:rPr>
                <w:rFonts w:hint="eastAsia" w:ascii="宋体" w:hAnsi="宋体" w:eastAsiaTheme="minorEastAsia"/>
                <w:sz w:val="21"/>
                <w:szCs w:val="21"/>
                <w:lang w:val="en-US" w:eastAsia="zh-CN"/>
              </w:rPr>
            </w:pPr>
            <w:r>
              <w:rPr>
                <w:rFonts w:hint="eastAsia" w:ascii="宋体" w:hAnsi="宋体"/>
                <w:sz w:val="21"/>
                <w:szCs w:val="21"/>
                <w:lang w:val="en-US" w:eastAsia="zh-CN"/>
              </w:rPr>
              <w:t>2.炎性细胞的诊断意义。</w:t>
            </w:r>
          </w:p>
        </w:tc>
        <w:tc>
          <w:tcPr>
            <w:tcW w:w="709" w:type="pct"/>
            <w:vAlign w:val="center"/>
          </w:tcPr>
          <w:p w14:paraId="1EC677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3824D7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003437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3A4B53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595" w:type="pct"/>
            <w:vAlign w:val="center"/>
          </w:tcPr>
          <w:p w14:paraId="28E83B6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73BF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7AC271B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发热</w:t>
            </w:r>
          </w:p>
        </w:tc>
        <w:tc>
          <w:tcPr>
            <w:tcW w:w="860" w:type="pct"/>
            <w:vAlign w:val="center"/>
          </w:tcPr>
          <w:p w14:paraId="721887E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发热</w:t>
            </w:r>
          </w:p>
        </w:tc>
        <w:tc>
          <w:tcPr>
            <w:tcW w:w="1054" w:type="pct"/>
            <w:vAlign w:val="center"/>
          </w:tcPr>
          <w:p w14:paraId="5A4D5AE5">
            <w:pPr>
              <w:keepNext w:val="0"/>
              <w:keepLines w:val="0"/>
              <w:pageBreakBefore w:val="0"/>
              <w:widowControl w:val="0"/>
              <w:numPr>
                <w:ilvl w:val="0"/>
                <w:numId w:val="2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发热的概念、原因和机制。</w:t>
            </w:r>
          </w:p>
          <w:p w14:paraId="045290D0">
            <w:pPr>
              <w:keepNext w:val="0"/>
              <w:keepLines w:val="0"/>
              <w:pageBreakBefore w:val="0"/>
              <w:widowControl w:val="0"/>
              <w:numPr>
                <w:ilvl w:val="0"/>
                <w:numId w:val="2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发热的经过与热型</w:t>
            </w:r>
          </w:p>
          <w:p w14:paraId="2B0DD41A">
            <w:pPr>
              <w:keepNext w:val="0"/>
              <w:keepLines w:val="0"/>
              <w:pageBreakBefore w:val="0"/>
              <w:widowControl w:val="0"/>
              <w:numPr>
                <w:ilvl w:val="0"/>
                <w:numId w:val="2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发热的意义和处理原则</w:t>
            </w:r>
          </w:p>
        </w:tc>
        <w:tc>
          <w:tcPr>
            <w:tcW w:w="931" w:type="pct"/>
            <w:vAlign w:val="center"/>
          </w:tcPr>
          <w:p w14:paraId="1B2C53F6">
            <w:pPr>
              <w:keepNext w:val="0"/>
              <w:keepLines w:val="0"/>
              <w:pageBreakBefore w:val="0"/>
              <w:widowControl w:val="0"/>
              <w:numPr>
                <w:ilvl w:val="0"/>
                <w:numId w:val="26"/>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正确识别发热与过热。</w:t>
            </w:r>
          </w:p>
          <w:p w14:paraId="36451786">
            <w:pPr>
              <w:keepNext w:val="0"/>
              <w:keepLines w:val="0"/>
              <w:pageBreakBefore w:val="0"/>
              <w:widowControl w:val="0"/>
              <w:numPr>
                <w:ilvl w:val="0"/>
                <w:numId w:val="26"/>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对发热动物进行正确处置。</w:t>
            </w:r>
          </w:p>
        </w:tc>
        <w:tc>
          <w:tcPr>
            <w:tcW w:w="709" w:type="pct"/>
            <w:vAlign w:val="center"/>
          </w:tcPr>
          <w:p w14:paraId="22A39D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2DA61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2891F9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0AD76F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595" w:type="pct"/>
            <w:vAlign w:val="center"/>
          </w:tcPr>
          <w:p w14:paraId="39E6B51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1FF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6A2D3CF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黄疸</w:t>
            </w:r>
          </w:p>
        </w:tc>
        <w:tc>
          <w:tcPr>
            <w:tcW w:w="860" w:type="pct"/>
            <w:vAlign w:val="center"/>
          </w:tcPr>
          <w:p w14:paraId="1C39D004">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黄疸</w:t>
            </w:r>
          </w:p>
        </w:tc>
        <w:tc>
          <w:tcPr>
            <w:tcW w:w="1054" w:type="pct"/>
            <w:vAlign w:val="center"/>
          </w:tcPr>
          <w:p w14:paraId="259ED7AC">
            <w:pPr>
              <w:keepNext w:val="0"/>
              <w:keepLines w:val="0"/>
              <w:pageBreakBefore w:val="0"/>
              <w:widowControl w:val="0"/>
              <w:numPr>
                <w:ilvl w:val="0"/>
                <w:numId w:val="27"/>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胆红素的代谢</w:t>
            </w:r>
          </w:p>
          <w:p w14:paraId="6E4F62C1">
            <w:pPr>
              <w:keepNext w:val="0"/>
              <w:keepLines w:val="0"/>
              <w:pageBreakBefore w:val="0"/>
              <w:widowControl w:val="0"/>
              <w:numPr>
                <w:ilvl w:val="0"/>
                <w:numId w:val="27"/>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各类型黄疸的发病原因，病理变化及对机体的影响</w:t>
            </w:r>
          </w:p>
        </w:tc>
        <w:tc>
          <w:tcPr>
            <w:tcW w:w="931" w:type="pct"/>
            <w:vAlign w:val="center"/>
          </w:tcPr>
          <w:p w14:paraId="2E6CAE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1.胆红素的代谢过程</w:t>
            </w:r>
          </w:p>
          <w:p w14:paraId="6E49FB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2.正确判断黄疸的类型。</w:t>
            </w:r>
          </w:p>
        </w:tc>
        <w:tc>
          <w:tcPr>
            <w:tcW w:w="709" w:type="pct"/>
            <w:vAlign w:val="center"/>
          </w:tcPr>
          <w:p w14:paraId="35D01C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701A4B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00A1C4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484060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595" w:type="pct"/>
            <w:vAlign w:val="center"/>
          </w:tcPr>
          <w:p w14:paraId="57E15F7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51E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19252C5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肿瘤</w:t>
            </w:r>
          </w:p>
        </w:tc>
        <w:tc>
          <w:tcPr>
            <w:tcW w:w="860" w:type="pct"/>
            <w:vAlign w:val="center"/>
          </w:tcPr>
          <w:p w14:paraId="462BF62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肿瘤</w:t>
            </w:r>
          </w:p>
        </w:tc>
        <w:tc>
          <w:tcPr>
            <w:tcW w:w="1054" w:type="pct"/>
            <w:vAlign w:val="center"/>
          </w:tcPr>
          <w:p w14:paraId="507F9702">
            <w:pPr>
              <w:keepNext w:val="0"/>
              <w:keepLines w:val="0"/>
              <w:pageBreakBefore w:val="0"/>
              <w:widowControl w:val="0"/>
              <w:numPr>
                <w:ilvl w:val="0"/>
                <w:numId w:val="28"/>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肿瘤的生物学特性</w:t>
            </w:r>
          </w:p>
          <w:p w14:paraId="5C340B52">
            <w:pPr>
              <w:keepNext w:val="0"/>
              <w:keepLines w:val="0"/>
              <w:pageBreakBefore w:val="0"/>
              <w:widowControl w:val="0"/>
              <w:numPr>
                <w:ilvl w:val="0"/>
                <w:numId w:val="28"/>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良恶性肿瘤的区别</w:t>
            </w:r>
          </w:p>
          <w:p w14:paraId="34409493">
            <w:pPr>
              <w:keepNext w:val="0"/>
              <w:keepLines w:val="0"/>
              <w:pageBreakBefore w:val="0"/>
              <w:widowControl w:val="0"/>
              <w:numPr>
                <w:ilvl w:val="0"/>
                <w:numId w:val="28"/>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肿瘤的命名与分类</w:t>
            </w:r>
          </w:p>
        </w:tc>
        <w:tc>
          <w:tcPr>
            <w:tcW w:w="931" w:type="pct"/>
            <w:vAlign w:val="center"/>
          </w:tcPr>
          <w:p w14:paraId="2BFA848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1.肿瘤的生物学特性</w:t>
            </w:r>
          </w:p>
          <w:p w14:paraId="3E9E1C6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2.良恶性肿瘤的区别</w:t>
            </w:r>
          </w:p>
          <w:p w14:paraId="37A494C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709" w:type="pct"/>
            <w:vAlign w:val="center"/>
          </w:tcPr>
          <w:p w14:paraId="5A4EE9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F07FD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0AE9ED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1E5AA3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595" w:type="pct"/>
            <w:vAlign w:val="center"/>
          </w:tcPr>
          <w:p w14:paraId="4043EF80">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38A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Align w:val="center"/>
          </w:tcPr>
          <w:p w14:paraId="77C207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尸体剖检诊断技术</w:t>
            </w:r>
          </w:p>
        </w:tc>
        <w:tc>
          <w:tcPr>
            <w:tcW w:w="860" w:type="pct"/>
            <w:vAlign w:val="center"/>
          </w:tcPr>
          <w:p w14:paraId="27D272D1">
            <w:pPr>
              <w:keepNext w:val="0"/>
              <w:keepLines w:val="0"/>
              <w:pageBreakBefore w:val="0"/>
              <w:widowControl w:val="0"/>
              <w:numPr>
                <w:ilvl w:val="0"/>
                <w:numId w:val="29"/>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概述</w:t>
            </w:r>
          </w:p>
          <w:p w14:paraId="5DBF2650">
            <w:pPr>
              <w:keepNext w:val="0"/>
              <w:keepLines w:val="0"/>
              <w:pageBreakBefore w:val="0"/>
              <w:widowControl w:val="0"/>
              <w:numPr>
                <w:ilvl w:val="0"/>
                <w:numId w:val="29"/>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动物剖检术式</w:t>
            </w:r>
          </w:p>
          <w:p w14:paraId="0485B905">
            <w:pPr>
              <w:keepNext w:val="0"/>
              <w:keepLines w:val="0"/>
              <w:pageBreakBefore w:val="0"/>
              <w:widowControl w:val="0"/>
              <w:numPr>
                <w:ilvl w:val="0"/>
                <w:numId w:val="29"/>
              </w:numPr>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器官组织检查方法</w:t>
            </w:r>
          </w:p>
        </w:tc>
        <w:tc>
          <w:tcPr>
            <w:tcW w:w="1054" w:type="pct"/>
            <w:vAlign w:val="center"/>
          </w:tcPr>
          <w:p w14:paraId="5FBBEB3C">
            <w:pPr>
              <w:keepNext w:val="0"/>
              <w:keepLines w:val="0"/>
              <w:pageBreakBefore w:val="0"/>
              <w:widowControl w:val="0"/>
              <w:numPr>
                <w:ilvl w:val="0"/>
                <w:numId w:val="3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动物尸体的变化</w:t>
            </w:r>
          </w:p>
          <w:p w14:paraId="6417E2F9">
            <w:pPr>
              <w:keepNext w:val="0"/>
              <w:keepLines w:val="0"/>
              <w:pageBreakBefore w:val="0"/>
              <w:widowControl w:val="0"/>
              <w:numPr>
                <w:ilvl w:val="0"/>
                <w:numId w:val="3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尸体剖检准备及注意事项</w:t>
            </w:r>
          </w:p>
          <w:p w14:paraId="5DA8AE31">
            <w:pPr>
              <w:keepNext w:val="0"/>
              <w:keepLines w:val="0"/>
              <w:pageBreakBefore w:val="0"/>
              <w:widowControl w:val="0"/>
              <w:numPr>
                <w:ilvl w:val="0"/>
                <w:numId w:val="3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反刍动物、猪、禽的剖检术式</w:t>
            </w:r>
          </w:p>
          <w:p w14:paraId="60445829">
            <w:pPr>
              <w:keepNext w:val="0"/>
              <w:keepLines w:val="0"/>
              <w:pageBreakBefore w:val="0"/>
              <w:widowControl w:val="0"/>
              <w:numPr>
                <w:ilvl w:val="0"/>
                <w:numId w:val="3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组织器官检查方法</w:t>
            </w:r>
          </w:p>
        </w:tc>
        <w:tc>
          <w:tcPr>
            <w:tcW w:w="931" w:type="pct"/>
            <w:vAlign w:val="center"/>
          </w:tcPr>
          <w:p w14:paraId="4006014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1.动物尸体的变化</w:t>
            </w:r>
          </w:p>
          <w:p w14:paraId="34D5F16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2.尸体剖检注意事项</w:t>
            </w:r>
          </w:p>
          <w:p w14:paraId="4BC6D6E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3.反刍动物、猪、禽的剖检术式</w:t>
            </w:r>
          </w:p>
          <w:p w14:paraId="256BD6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4.组织器官检查方法</w:t>
            </w:r>
          </w:p>
        </w:tc>
        <w:tc>
          <w:tcPr>
            <w:tcW w:w="709" w:type="pct"/>
            <w:vAlign w:val="center"/>
          </w:tcPr>
          <w:p w14:paraId="2F70A8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58171A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AA21B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0C07DC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595" w:type="pct"/>
            <w:vAlign w:val="center"/>
          </w:tcPr>
          <w:p w14:paraId="3D06AC9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14:paraId="19A7E173">
      <w:pPr>
        <w:numPr>
          <w:ilvl w:val="0"/>
          <w:numId w:val="0"/>
        </w:numPr>
        <w:bidi w:val="0"/>
        <w:ind w:left="420" w:leftChars="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六、课程考核与评价</w:t>
      </w:r>
    </w:p>
    <w:p w14:paraId="33907E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2E6E25C1">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A91E9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1DB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8789B0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45C59C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5575FD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0D14C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E61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AC2B4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4B48CF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0C7AB63E">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12D90139">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30%</w:t>
            </w:r>
          </w:p>
        </w:tc>
        <w:tc>
          <w:tcPr>
            <w:tcW w:w="1942" w:type="pct"/>
            <w:tcBorders>
              <w:left w:val="single" w:color="auto" w:sz="4" w:space="0"/>
              <w:right w:val="single" w:color="auto" w:sz="4" w:space="0"/>
            </w:tcBorders>
            <w:vAlign w:val="center"/>
          </w:tcPr>
          <w:p w14:paraId="4070D57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2BF5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7E4DFE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6A81E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0B85B3E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6A0382F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18C1FFE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3D44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0711D3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337F29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2BC8D31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以技能认知和操作方式进行</w:t>
            </w:r>
          </w:p>
        </w:tc>
        <w:tc>
          <w:tcPr>
            <w:tcW w:w="719" w:type="pct"/>
            <w:tcBorders>
              <w:left w:val="single" w:color="auto" w:sz="4" w:space="0"/>
              <w:right w:val="single" w:color="auto" w:sz="4" w:space="0"/>
            </w:tcBorders>
            <w:vAlign w:val="center"/>
          </w:tcPr>
          <w:p w14:paraId="5F48663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60E783F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6C11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D86A1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1ACA926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5C5909C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5F700E6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4C48D152">
      <w:pPr>
        <w:pStyle w:val="3"/>
        <w:bidi w:val="0"/>
        <w:rPr>
          <w:rFonts w:hint="eastAsia"/>
          <w:lang w:val="en-US" w:eastAsia="zh-CN"/>
        </w:rPr>
      </w:pPr>
      <w:r>
        <w:rPr>
          <w:rFonts w:hint="eastAsia"/>
          <w:lang w:val="en-US" w:eastAsia="zh-CN"/>
        </w:rPr>
        <w:t>七、课程实施与保障</w:t>
      </w:r>
    </w:p>
    <w:p w14:paraId="47E9A3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EB90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4468A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3A54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工匠精神”、“职业道德”的课程思政价值链，结合中国科学家以及兽医师的经历，将科技创新精神和工匠精神传递给学生，促使专业知识与思政教育水乳交融。融入产业行业发展形势政策，增强学生的学习动力；融入行业知名医师事迹，培养学生医师工匠精神：融合专业创造发明故事，培养学生“创新创业"意识;融入安全教育，提高学生安全意识和防御安全能力，融入国防教学，树立学生科技报国的志向。</w:t>
      </w:r>
    </w:p>
    <w:p w14:paraId="09DB18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4677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BF38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专职教师在4人左右，其中专职教师3人，来自企业的兼职教师1人。应具备双师素质资格，具有一定的实践经验，教学效果良好，职称和年龄结构合理。</w:t>
      </w:r>
    </w:p>
    <w:p w14:paraId="439FBE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BE090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054"/>
        <w:gridCol w:w="3532"/>
        <w:gridCol w:w="3494"/>
      </w:tblGrid>
      <w:tr w14:paraId="7ADB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1DEC8373">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序号</w:t>
            </w:r>
          </w:p>
        </w:tc>
        <w:tc>
          <w:tcPr>
            <w:tcW w:w="1042" w:type="pct"/>
            <w:vAlign w:val="top"/>
          </w:tcPr>
          <w:p w14:paraId="30AF857B">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名称</w:t>
            </w:r>
          </w:p>
        </w:tc>
        <w:tc>
          <w:tcPr>
            <w:tcW w:w="1792" w:type="pct"/>
            <w:vAlign w:val="top"/>
          </w:tcPr>
          <w:p w14:paraId="11CCFAD3">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基本配置要求</w:t>
            </w:r>
          </w:p>
        </w:tc>
        <w:tc>
          <w:tcPr>
            <w:tcW w:w="1773" w:type="pct"/>
            <w:vAlign w:val="top"/>
          </w:tcPr>
          <w:p w14:paraId="3BBD064D">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功能说明</w:t>
            </w:r>
          </w:p>
        </w:tc>
      </w:tr>
      <w:tr w14:paraId="57B7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F48CAA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1</w:t>
            </w:r>
          </w:p>
        </w:tc>
        <w:tc>
          <w:tcPr>
            <w:tcW w:w="1042" w:type="pct"/>
            <w:vAlign w:val="center"/>
          </w:tcPr>
          <w:p w14:paraId="5D4A44C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显微镜实训室</w:t>
            </w:r>
          </w:p>
        </w:tc>
        <w:tc>
          <w:tcPr>
            <w:tcW w:w="1792" w:type="pct"/>
            <w:vAlign w:val="center"/>
          </w:tcPr>
          <w:p w14:paraId="5F4F7F03">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光学显微镜、显微镜电子显示设备</w:t>
            </w:r>
          </w:p>
        </w:tc>
        <w:tc>
          <w:tcPr>
            <w:tcW w:w="1773" w:type="pct"/>
            <w:vAlign w:val="center"/>
          </w:tcPr>
          <w:p w14:paraId="1DA47503">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显微镜观察技术、设备使用和维护训练</w:t>
            </w:r>
          </w:p>
        </w:tc>
      </w:tr>
      <w:tr w14:paraId="420B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0C36752C">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2</w:t>
            </w:r>
          </w:p>
        </w:tc>
        <w:tc>
          <w:tcPr>
            <w:tcW w:w="1042" w:type="pct"/>
            <w:vAlign w:val="center"/>
          </w:tcPr>
          <w:p w14:paraId="2FC22ECC">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动物解剖实训室</w:t>
            </w:r>
          </w:p>
        </w:tc>
        <w:tc>
          <w:tcPr>
            <w:tcW w:w="1792" w:type="pct"/>
            <w:vAlign w:val="center"/>
          </w:tcPr>
          <w:p w14:paraId="7E78489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提供动物标本进行动物的组织器官识别</w:t>
            </w:r>
          </w:p>
        </w:tc>
        <w:tc>
          <w:tcPr>
            <w:tcW w:w="1773" w:type="pct"/>
            <w:vAlign w:val="top"/>
          </w:tcPr>
          <w:p w14:paraId="0F976C0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识别动物解剖器官及组织结构</w:t>
            </w:r>
          </w:p>
        </w:tc>
      </w:tr>
      <w:tr w14:paraId="632A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8DDD39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3</w:t>
            </w:r>
          </w:p>
        </w:tc>
        <w:tc>
          <w:tcPr>
            <w:tcW w:w="1042" w:type="pct"/>
            <w:vAlign w:val="center"/>
          </w:tcPr>
          <w:p w14:paraId="3F70D6B6">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动物病理实训室</w:t>
            </w:r>
          </w:p>
        </w:tc>
        <w:tc>
          <w:tcPr>
            <w:tcW w:w="1792" w:type="pct"/>
            <w:vAlign w:val="center"/>
          </w:tcPr>
          <w:p w14:paraId="6567D0EE">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提供动物组织病理标本、组织切片设备</w:t>
            </w:r>
          </w:p>
        </w:tc>
        <w:tc>
          <w:tcPr>
            <w:tcW w:w="1773" w:type="pct"/>
            <w:vAlign w:val="center"/>
          </w:tcPr>
          <w:p w14:paraId="6ACF6DBD">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识别病理特征、制备病理组织切片技术</w:t>
            </w:r>
          </w:p>
        </w:tc>
      </w:tr>
    </w:tbl>
    <w:p w14:paraId="611F0F4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FF0000"/>
          <w:sz w:val="24"/>
          <w:szCs w:val="24"/>
          <w:lang w:val="en-US" w:eastAsia="zh-CN"/>
        </w:rPr>
      </w:pPr>
    </w:p>
    <w:p w14:paraId="0B8C1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4A71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CDF3694">
      <w:pPr>
        <w:spacing w:line="400" w:lineRule="exact"/>
        <w:ind w:firstLine="480" w:firstLineChars="200"/>
        <w:rPr>
          <w:rFonts w:hint="eastAsia" w:ascii="宋体" w:hAnsi="宋体" w:cs="宋体"/>
          <w:iCs/>
          <w:sz w:val="24"/>
        </w:rPr>
      </w:pPr>
      <w:r>
        <w:rPr>
          <w:rFonts w:hint="eastAsia" w:ascii="宋体" w:hAnsi="宋体" w:cs="宋体"/>
          <w:iCs/>
          <w:sz w:val="24"/>
        </w:rPr>
        <w:t>⑴教材选用基本要求</w:t>
      </w:r>
    </w:p>
    <w:p w14:paraId="06E8C736">
      <w:pPr>
        <w:spacing w:line="400" w:lineRule="exact"/>
        <w:ind w:firstLine="480" w:firstLineChars="200"/>
        <w:rPr>
          <w:rFonts w:hint="eastAsia" w:ascii="宋体" w:hAnsi="宋体" w:cs="宋体"/>
          <w:iCs/>
          <w:sz w:val="24"/>
        </w:rPr>
      </w:pPr>
      <w:r>
        <w:rPr>
          <w:rFonts w:hint="eastAsia" w:ascii="宋体" w:hAnsi="宋体" w:cs="宋体"/>
          <w:iCs/>
          <w:sz w:val="24"/>
        </w:rPr>
        <w:t>按照国家规定选用近五年的高职高专优质教材，禁止不合格的教材进入课堂，学校应建立专业教师、行业专家和教研人员等参与的教材选用机构，完善教材选用制度，经过规范程序择优选用教材。</w:t>
      </w:r>
    </w:p>
    <w:p w14:paraId="7A45DED7">
      <w:pPr>
        <w:spacing w:line="400" w:lineRule="exact"/>
        <w:ind w:firstLine="480" w:firstLineChars="200"/>
        <w:rPr>
          <w:rFonts w:hint="eastAsia" w:ascii="宋体" w:hAnsi="宋体" w:cs="宋体"/>
          <w:iCs/>
          <w:sz w:val="24"/>
        </w:rPr>
      </w:pPr>
      <w:r>
        <w:rPr>
          <w:rFonts w:hint="eastAsia" w:ascii="宋体" w:hAnsi="宋体" w:cs="宋体"/>
          <w:iCs/>
          <w:sz w:val="24"/>
        </w:rPr>
        <w:t>⑵图书文献配备基本要求</w:t>
      </w:r>
    </w:p>
    <w:p w14:paraId="60CC78C4">
      <w:pPr>
        <w:spacing w:line="400" w:lineRule="exact"/>
        <w:ind w:firstLine="480" w:firstLineChars="200"/>
        <w:rPr>
          <w:rFonts w:hint="eastAsia" w:ascii="宋体" w:hAnsi="宋体" w:eastAsia="宋体" w:cs="宋体"/>
          <w:sz w:val="24"/>
          <w:szCs w:val="24"/>
          <w:lang w:val="en-US" w:eastAsia="zh-CN"/>
        </w:rPr>
      </w:pPr>
      <w:r>
        <w:rPr>
          <w:rFonts w:hint="eastAsia" w:ascii="宋体" w:hAnsi="宋体" w:cs="宋体"/>
          <w:iCs/>
          <w:sz w:val="24"/>
        </w:rPr>
        <w:t>图书文献配备能满足人才培养、专业建设、教科研等工作的需要，方便师生查询、借阅。专业类图书文献主要包括畜牧兽医行业的政策法规、行业发展相关文献、专业知识素材、国内外行业发展现状等；畜牧兽医专业必备图书资料，以及5种以上专业学术期刊和有关职业技能鉴定类图书。</w:t>
      </w:r>
    </w:p>
    <w:p w14:paraId="287C98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FAB900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iCs/>
          <w:sz w:val="24"/>
        </w:rPr>
      </w:pPr>
      <w:r>
        <w:rPr>
          <w:rFonts w:hint="eastAsia" w:ascii="宋体" w:hAnsi="宋体" w:cs="宋体"/>
          <w:iCs/>
          <w:sz w:val="24"/>
          <w:lang w:val="en-US" w:eastAsia="zh-CN"/>
        </w:rPr>
        <w:t xml:space="preserve">    </w:t>
      </w:r>
      <w:r>
        <w:rPr>
          <w:rFonts w:hint="eastAsia" w:ascii="宋体" w:hAnsi="宋体" w:cs="宋体"/>
          <w:iCs/>
          <w:sz w:val="24"/>
        </w:rPr>
        <w:t>建设、配备与本专业有关的音视频素材、教学课件、数字化教学案例库、虚拟仿真软件、数字教材等专业教学资源库，应种类丰富、形式多样、使用便捷、动态更新，能满足教学要求。</w:t>
      </w:r>
    </w:p>
    <w:p w14:paraId="6585B467">
      <w:pPr>
        <w:rPr>
          <w:rFonts w:hint="eastAsia" w:ascii="宋体" w:hAnsi="宋体" w:cs="宋体"/>
          <w:iCs/>
          <w:sz w:val="24"/>
        </w:rPr>
      </w:pPr>
      <w:r>
        <w:rPr>
          <w:rFonts w:hint="eastAsia" w:ascii="宋体" w:hAnsi="宋体" w:cs="宋体"/>
          <w:iCs/>
          <w:sz w:val="24"/>
        </w:rPr>
        <w:br w:type="page"/>
      </w:r>
    </w:p>
    <w:p w14:paraId="0AADE608">
      <w:pPr>
        <w:pStyle w:val="2"/>
        <w:bidi w:val="0"/>
        <w:rPr>
          <w:rFonts w:hint="eastAsia"/>
          <w:lang w:val="en-US" w:eastAsia="zh-CN"/>
        </w:rPr>
      </w:pPr>
      <w:bookmarkStart w:id="28" w:name="_Toc3704"/>
      <w:bookmarkStart w:id="29" w:name="_Toc18597"/>
      <w:r>
        <w:rPr>
          <w:rFonts w:hint="eastAsia"/>
          <w:lang w:val="en-US" w:eastAsia="zh-CN"/>
        </w:rPr>
        <w:t>《养殖场环境控制与污物治理技术》课程标准</w:t>
      </w:r>
      <w:bookmarkEnd w:id="28"/>
      <w:bookmarkEnd w:id="29"/>
    </w:p>
    <w:p w14:paraId="462951A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0E7E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90DE87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006E94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养殖场环境控制与污物治理技术</w:t>
            </w:r>
          </w:p>
        </w:tc>
        <w:tc>
          <w:tcPr>
            <w:tcW w:w="975" w:type="dxa"/>
            <w:tcBorders>
              <w:top w:val="single" w:color="auto" w:sz="4" w:space="0"/>
              <w:left w:val="single" w:color="auto" w:sz="4" w:space="0"/>
              <w:bottom w:val="single" w:color="auto" w:sz="4" w:space="0"/>
              <w:right w:val="single" w:color="auto" w:sz="4" w:space="0"/>
            </w:tcBorders>
            <w:vAlign w:val="center"/>
          </w:tcPr>
          <w:p w14:paraId="1C21946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10E88CF">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xcxm24008</w:t>
            </w:r>
          </w:p>
        </w:tc>
      </w:tr>
      <w:tr w14:paraId="7F5E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9B0767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69DE1CD">
            <w:pPr>
              <w:jc w:val="center"/>
              <w:rPr>
                <w:rFonts w:hint="default" w:eastAsiaTheme="minorEastAsia"/>
                <w:lang w:val="en-US" w:eastAsia="zh-CN"/>
              </w:rPr>
            </w:pPr>
            <w:r>
              <w:rPr>
                <w:rFonts w:hint="eastAsia"/>
                <w:lang w:val="en-US" w:eastAsia="zh-CN"/>
              </w:rPr>
              <w:t>32学时</w:t>
            </w:r>
          </w:p>
        </w:tc>
        <w:tc>
          <w:tcPr>
            <w:tcW w:w="1595" w:type="dxa"/>
            <w:tcBorders>
              <w:top w:val="single" w:color="auto" w:sz="4" w:space="0"/>
              <w:left w:val="single" w:color="auto" w:sz="4" w:space="0"/>
              <w:bottom w:val="single" w:color="auto" w:sz="4" w:space="0"/>
              <w:right w:val="single" w:color="auto" w:sz="4" w:space="0"/>
            </w:tcBorders>
          </w:tcPr>
          <w:p w14:paraId="6CC4F94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10EC2C4">
            <w:pPr>
              <w:jc w:val="center"/>
              <w:rPr>
                <w:rFonts w:hint="eastAsia"/>
                <w:lang w:val="en-US" w:eastAsia="zh-CN"/>
              </w:rPr>
            </w:pPr>
            <w:r>
              <w:rPr>
                <w:rFonts w:hint="eastAsia"/>
                <w:lang w:val="en-US" w:eastAsia="zh-CN"/>
              </w:rPr>
              <w:t>16学时</w:t>
            </w:r>
          </w:p>
        </w:tc>
        <w:tc>
          <w:tcPr>
            <w:tcW w:w="975" w:type="dxa"/>
            <w:tcBorders>
              <w:top w:val="single" w:color="auto" w:sz="4" w:space="0"/>
              <w:left w:val="single" w:color="auto" w:sz="4" w:space="0"/>
              <w:bottom w:val="single" w:color="auto" w:sz="4" w:space="0"/>
              <w:right w:val="single" w:color="auto" w:sz="4" w:space="0"/>
            </w:tcBorders>
            <w:vAlign w:val="center"/>
          </w:tcPr>
          <w:p w14:paraId="6B3CE86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2DFAD9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2FBB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E51ED1A">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BAB9735">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2C64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9877A1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839E08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CB818E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82CE91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4C4199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222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EE7C75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C2F7433">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《动物解剖生理》、《动物微生物与免疫》、《动物营养与饲料》</w:t>
            </w:r>
          </w:p>
        </w:tc>
      </w:tr>
      <w:tr w14:paraId="6827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3C74C9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B2BC3D1">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《养禽与禽病防治》、《养猪与猪病防治》</w:t>
            </w:r>
          </w:p>
        </w:tc>
      </w:tr>
      <w:tr w14:paraId="699C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977467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856AD3F">
            <w:pPr>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olor w:val="auto"/>
                <w:sz w:val="21"/>
                <w:szCs w:val="21"/>
                <w:lang w:val="en-US" w:eastAsia="zh-CN"/>
              </w:rPr>
              <w:t>养殖场环境控制与污物治理技术</w:t>
            </w:r>
            <w:r>
              <w:rPr>
                <w:rFonts w:ascii="Arial" w:hAnsi="Arial" w:eastAsia="宋体" w:cs="Arial"/>
              </w:rPr>
              <w:t>》（</w:t>
            </w:r>
            <w:r>
              <w:rPr>
                <w:rFonts w:hint="eastAsia" w:ascii="Arial" w:hAnsi="Arial" w:eastAsia="宋体" w:cs="Arial"/>
                <w:lang w:val="en-US" w:eastAsia="zh-CN"/>
              </w:rPr>
              <w:t>李义</w:t>
            </w:r>
            <w:r>
              <w:rPr>
                <w:rFonts w:hint="eastAsia" w:ascii="Arial" w:hAnsi="Arial" w:eastAsia="宋体" w:cs="Arial"/>
              </w:rPr>
              <w:t>，</w:t>
            </w:r>
            <w:r>
              <w:rPr>
                <w:rFonts w:hint="eastAsia" w:ascii="Arial" w:hAnsi="Arial" w:eastAsia="宋体" w:cs="Arial"/>
                <w:lang w:val="en-US" w:eastAsia="zh-CN"/>
              </w:rPr>
              <w:t>中国农业出版社，2019年，ISBN978-7-109-25822-8</w:t>
            </w:r>
            <w:r>
              <w:rPr>
                <w:rFonts w:ascii="Arial" w:hAnsi="Arial" w:eastAsia="宋体" w:cs="Arial"/>
              </w:rPr>
              <w:t>)</w:t>
            </w:r>
          </w:p>
        </w:tc>
      </w:tr>
      <w:tr w14:paraId="550D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70EDFC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53BC5B8">
            <w:pPr>
              <w:widowControl/>
              <w:jc w:val="left"/>
              <w:rPr>
                <w:rFonts w:hint="eastAsia" w:eastAsiaTheme="minorEastAsia"/>
                <w:lang w:val="en-US" w:eastAsia="zh-CN"/>
              </w:rPr>
            </w:pPr>
            <w:r>
              <w:rPr>
                <w:rFonts w:hint="eastAsia"/>
                <w:lang w:val="en-US" w:eastAsia="zh-CN"/>
              </w:rPr>
              <w:t>杨侃侃</w:t>
            </w:r>
          </w:p>
        </w:tc>
        <w:tc>
          <w:tcPr>
            <w:tcW w:w="975" w:type="dxa"/>
            <w:tcBorders>
              <w:top w:val="single" w:color="auto" w:sz="4" w:space="0"/>
              <w:left w:val="single" w:color="auto" w:sz="4" w:space="0"/>
              <w:bottom w:val="single" w:color="auto" w:sz="4" w:space="0"/>
              <w:right w:val="single" w:color="auto" w:sz="4" w:space="0"/>
            </w:tcBorders>
            <w:vAlign w:val="center"/>
          </w:tcPr>
          <w:p w14:paraId="328C34B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C21C76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E5A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1674E4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EE20843">
            <w:pPr>
              <w:widowControl/>
              <w:jc w:val="left"/>
              <w:rPr>
                <w:rFonts w:hint="eastAsia" w:eastAsiaTheme="minorEastAsia"/>
                <w:lang w:val="en-US" w:eastAsia="zh-CN"/>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D6BBA6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3FA03BF">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368A2F1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CF58655">
      <w:pPr>
        <w:pStyle w:val="3"/>
        <w:bidi w:val="0"/>
        <w:rPr>
          <w:rFonts w:hint="eastAsia"/>
          <w:lang w:val="en-US" w:eastAsia="zh-CN"/>
        </w:rPr>
      </w:pPr>
      <w:r>
        <w:rPr>
          <w:rFonts w:hint="eastAsia"/>
          <w:lang w:val="en-US" w:eastAsia="zh-CN"/>
        </w:rPr>
        <w:t>二、课程定位</w:t>
      </w:r>
    </w:p>
    <w:p w14:paraId="3B0B5E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《动物解剖生理》、</w:t>
      </w:r>
      <w:r>
        <w:rPr>
          <w:rFonts w:hint="eastAsia" w:ascii="Arial" w:hAnsi="Arial" w:eastAsia="宋体" w:cs="Arial"/>
          <w:color w:val="auto"/>
          <w:sz w:val="24"/>
          <w:szCs w:val="24"/>
          <w:lang w:val="en-US" w:eastAsia="zh-CN"/>
        </w:rPr>
        <w:t>《动物微生物与免疫》、《动物营养与饲料》课程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养殖场环境管理、废弃物处理与资源化利用等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动物福利意识、生态文明意识、绿色环保意识、精益求精、爱岗敬业的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养殖场规划设计、环境控制、污染监测及污物治理</w:t>
      </w:r>
      <w:r>
        <w:rPr>
          <w:rFonts w:hint="eastAsia" w:asciiTheme="minorEastAsia" w:hAnsiTheme="minorEastAsia" w:eastAsiaTheme="minorEastAsia" w:cstheme="minorEastAsia"/>
          <w:sz w:val="24"/>
          <w:szCs w:val="24"/>
          <w:lang w:val="en-US" w:eastAsia="zh-CN"/>
        </w:rPr>
        <w:t>能力，为后续</w:t>
      </w:r>
      <w:r>
        <w:rPr>
          <w:rFonts w:hint="eastAsia" w:ascii="Arial" w:hAnsi="Arial" w:eastAsia="宋体" w:cs="Arial"/>
          <w:color w:val="auto"/>
          <w:sz w:val="24"/>
          <w:szCs w:val="24"/>
          <w:lang w:val="en-US" w:eastAsia="zh-CN"/>
        </w:rPr>
        <w:t>《养禽与禽病防治》、《养猪与猪病防治》等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C991477">
      <w:pPr>
        <w:pStyle w:val="3"/>
        <w:bidi w:val="0"/>
        <w:rPr>
          <w:rFonts w:hint="eastAsia"/>
          <w:lang w:val="en-US" w:eastAsia="zh-CN"/>
        </w:rPr>
      </w:pPr>
      <w:r>
        <w:rPr>
          <w:rFonts w:hint="eastAsia"/>
          <w:lang w:val="en-US" w:eastAsia="zh-CN"/>
        </w:rPr>
        <w:t>三、课程设计思路</w:t>
      </w:r>
    </w:p>
    <w:p w14:paraId="2E5E11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领域及相关教材确定教学内容,从技术和产品出发，了解</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养殖场环境控制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污物治理技术</w:t>
      </w:r>
      <w:r>
        <w:rPr>
          <w:rFonts w:hint="eastAsia" w:asciiTheme="minorEastAsia" w:hAnsiTheme="minorEastAsia" w:eastAsiaTheme="minorEastAsia" w:cstheme="minorEastAsia"/>
          <w:sz w:val="24"/>
          <w:szCs w:val="24"/>
          <w:lang w:val="en-US" w:eastAsia="zh-CN"/>
        </w:rPr>
        <w:t>进行智能</w:t>
      </w:r>
      <w:r>
        <w:rPr>
          <w:rFonts w:hint="eastAsia" w:asciiTheme="minorEastAsia" w:hAnsiTheme="minorEastAsia" w:cstheme="minorEastAsia"/>
          <w:sz w:val="24"/>
          <w:szCs w:val="24"/>
          <w:lang w:val="en-US" w:eastAsia="zh-CN"/>
        </w:rPr>
        <w:t>整合</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7B68FB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生态文明</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绿色环保</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w:t>
      </w:r>
      <w:r>
        <w:rPr>
          <w:rFonts w:hint="eastAsia" w:asciiTheme="minorEastAsia" w:hAnsiTheme="minorEastAsia" w:cstheme="minorEastAsia"/>
          <w:sz w:val="24"/>
          <w:szCs w:val="24"/>
          <w:lang w:val="en-US" w:eastAsia="zh-CN"/>
        </w:rPr>
        <w:t>畜牧</w:t>
      </w:r>
      <w:r>
        <w:rPr>
          <w:rFonts w:hint="eastAsia" w:asciiTheme="minorEastAsia" w:hAnsiTheme="minorEastAsia" w:eastAsiaTheme="minorEastAsia" w:cstheme="minorEastAsia"/>
          <w:sz w:val="24"/>
          <w:szCs w:val="24"/>
          <w:lang w:val="en-US" w:eastAsia="zh-CN"/>
        </w:rPr>
        <w:t>师的经历，将创新精神和</w:t>
      </w:r>
      <w:r>
        <w:rPr>
          <w:rFonts w:hint="eastAsia" w:asciiTheme="minorEastAsia" w:hAnsiTheme="minorEastAsia" w:cstheme="minorEastAsia"/>
          <w:sz w:val="24"/>
          <w:szCs w:val="24"/>
          <w:lang w:val="en-US" w:eastAsia="zh-CN"/>
        </w:rPr>
        <w:t>劳动</w:t>
      </w:r>
      <w:r>
        <w:rPr>
          <w:rFonts w:hint="eastAsia" w:asciiTheme="minorEastAsia" w:hAnsiTheme="minorEastAsia" w:eastAsiaTheme="minorEastAsia" w:cstheme="minorEastAsia"/>
          <w:sz w:val="24"/>
          <w:szCs w:val="24"/>
          <w:lang w:val="en-US" w:eastAsia="zh-CN"/>
        </w:rPr>
        <w:t>精神传递给学生，促使专业知识与思政教育水乳交融。</w:t>
      </w:r>
    </w:p>
    <w:p w14:paraId="39E6EC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w:t>
      </w:r>
      <w:r>
        <w:rPr>
          <w:rFonts w:hint="eastAsia" w:asciiTheme="minorEastAsia" w:hAnsiTheme="minorEastAsia" w:eastAsiaTheme="minorEastAsia" w:cstheme="minorEastAsia"/>
          <w:sz w:val="24"/>
          <w:szCs w:val="24"/>
          <w:u w:val="none"/>
          <w:lang w:val="en-US" w:eastAsia="zh-CN"/>
        </w:rPr>
        <w:t>为适应新一轮</w:t>
      </w:r>
      <w:r>
        <w:rPr>
          <w:rFonts w:hint="eastAsia" w:asciiTheme="minorEastAsia" w:hAnsiTheme="minorEastAsia" w:cstheme="minorEastAsia"/>
          <w:sz w:val="24"/>
          <w:szCs w:val="24"/>
          <w:u w:val="none"/>
          <w:lang w:val="en-US" w:eastAsia="zh-CN"/>
        </w:rPr>
        <w:t>畜禽养殖行业</w:t>
      </w:r>
      <w:r>
        <w:rPr>
          <w:rFonts w:hint="eastAsia" w:asciiTheme="minorEastAsia" w:hAnsiTheme="minorEastAsia" w:eastAsiaTheme="minorEastAsia" w:cstheme="minorEastAsia"/>
          <w:sz w:val="24"/>
          <w:szCs w:val="24"/>
          <w:u w:val="none"/>
          <w:lang w:val="en-US" w:eastAsia="zh-CN"/>
        </w:rPr>
        <w:t>变革趋势，紧紧围绕国家</w:t>
      </w:r>
      <w:r>
        <w:rPr>
          <w:rFonts w:hint="eastAsia" w:asciiTheme="minorEastAsia" w:hAnsiTheme="minorEastAsia" w:cstheme="minorEastAsia"/>
          <w:sz w:val="24"/>
          <w:szCs w:val="24"/>
          <w:u w:val="none"/>
          <w:lang w:val="en-US" w:eastAsia="zh-CN"/>
        </w:rPr>
        <w:t>畜牧业</w:t>
      </w:r>
      <w:r>
        <w:rPr>
          <w:rFonts w:hint="eastAsia" w:asciiTheme="minorEastAsia" w:hAnsiTheme="minorEastAsia" w:eastAsiaTheme="minorEastAsia" w:cstheme="minorEastAsia"/>
          <w:sz w:val="24"/>
          <w:szCs w:val="24"/>
          <w:u w:val="none"/>
          <w:lang w:val="en-US" w:eastAsia="zh-CN"/>
        </w:rPr>
        <w:t>发展需要，</w:t>
      </w:r>
      <w:r>
        <w:rPr>
          <w:rFonts w:hint="eastAsia" w:asciiTheme="minorEastAsia" w:hAnsiTheme="minorEastAsia" w:eastAsiaTheme="minorEastAsia" w:cstheme="minorEastAsia"/>
          <w:sz w:val="24"/>
          <w:szCs w:val="24"/>
          <w:lang w:val="en-US" w:eastAsia="zh-CN"/>
        </w:rPr>
        <w:t>精准对接产业岗位新需求，融入</w:t>
      </w:r>
      <w:r>
        <w:rPr>
          <w:rFonts w:hint="eastAsia" w:asciiTheme="minorEastAsia" w:hAnsiTheme="minorEastAsia" w:cstheme="minorEastAsia"/>
          <w:sz w:val="24"/>
          <w:szCs w:val="24"/>
          <w:lang w:val="en-US" w:eastAsia="zh-CN"/>
        </w:rPr>
        <w:t>智慧养殖环境监控</w:t>
      </w:r>
      <w:r>
        <w:rPr>
          <w:rFonts w:hint="eastAsia" w:asciiTheme="minorEastAsia" w:hAnsiTheme="minorEastAsia" w:eastAsiaTheme="minorEastAsia" w:cstheme="minorEastAsia"/>
          <w:sz w:val="24"/>
          <w:szCs w:val="24"/>
          <w:lang w:val="en-US" w:eastAsia="zh-CN"/>
        </w:rPr>
        <w:t>新技术、1+X证书、职业技能大赛、学科竞赛以及创新创业大赛等重构教学内容，以培养具有多样化、创新型、具备竞争力的高素质复合型新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农科</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746AF317">
      <w:pPr>
        <w:pStyle w:val="3"/>
        <w:bidi w:val="0"/>
        <w:rPr>
          <w:rFonts w:hint="eastAsia"/>
          <w:lang w:val="en-US" w:eastAsia="zh-CN"/>
        </w:rPr>
      </w:pPr>
      <w:r>
        <w:rPr>
          <w:rFonts w:hint="eastAsia"/>
          <w:lang w:val="en-US" w:eastAsia="zh-CN"/>
        </w:rPr>
        <w:t>四、课程目标</w:t>
      </w:r>
    </w:p>
    <w:p w14:paraId="277D13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C4937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掌握养殖场科学选址、规划布局及畜舍设计的基本原理；</w:t>
      </w:r>
    </w:p>
    <w:p w14:paraId="3F755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2.理解环境因素对畜禽健康与生产性能的影响规律；</w:t>
      </w:r>
    </w:p>
    <w:p w14:paraId="022FA2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3.掌握养殖场主要环境指标的监测方法与评价标准；</w:t>
      </w:r>
    </w:p>
    <w:p w14:paraId="45CE49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4.掌握养殖场粪污、废水等废弃物的常见处理技术及资源化利用途径。</w:t>
      </w:r>
    </w:p>
    <w:p w14:paraId="532C19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5811A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能合理规划设计养殖场；</w:t>
      </w:r>
    </w:p>
    <w:p w14:paraId="59CF65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2.能正确选用操作养殖场环境控制设备；</w:t>
      </w:r>
    </w:p>
    <w:p w14:paraId="2931FA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3.能使用仪器对养殖场空气、水质、土壤等环境指标进行测定与评价；</w:t>
      </w:r>
    </w:p>
    <w:p w14:paraId="218FFB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4.能制定并实施养殖场常规环境卫生管理、消毒及防疫制定；</w:t>
      </w:r>
    </w:p>
    <w:p w14:paraId="0B053F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5.能操作和维护常见的粪污处理设备，并能进行简单的工艺设计。</w:t>
      </w:r>
    </w:p>
    <w:p w14:paraId="60F75E7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4C6D37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1.树立生态文明观和环保意识，理解绿色养殖的重要性；</w:t>
      </w:r>
    </w:p>
    <w:p w14:paraId="70B291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2.培养学生分析问题、解决问题和自主学习的能力；</w:t>
      </w:r>
    </w:p>
    <w:p w14:paraId="3F0FD0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3.培养学生创新、交流与团队协作能力；</w:t>
      </w:r>
    </w:p>
    <w:p w14:paraId="3A2478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4.培养学生精益求精的工匠精神、安全生产意识和规范操作的习惯；</w:t>
      </w:r>
    </w:p>
    <w:p w14:paraId="1D31E4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748CC0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职业道德：树立“爱岗敬业、精益求精”的职业理念，遵守行业职业道德规范和岗位行为准则；</w:t>
      </w:r>
    </w:p>
    <w:p w14:paraId="395590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生态文明：树立绿色发展理念，在实践操作中注重环境保护，践行生态责任</w:t>
      </w:r>
      <w:r>
        <w:rPr>
          <w:rFonts w:hint="eastAsia" w:asciiTheme="minorEastAsia" w:hAnsiTheme="minorEastAsia" w:cstheme="minorEastAsia"/>
          <w:sz w:val="24"/>
          <w:szCs w:val="24"/>
          <w:lang w:eastAsia="zh-CN"/>
        </w:rPr>
        <w:t>；</w:t>
      </w:r>
    </w:p>
    <w:p w14:paraId="38E2FE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3B0978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2C9CA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家国情怀：结合行业发展历程，激发民族自豪感和爱国热情，培养“强国有我”的使命意识；​​</w:t>
      </w:r>
    </w:p>
    <w:p w14:paraId="5A7C5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r>
        <w:rPr>
          <w:rFonts w:hint="eastAsia" w:asciiTheme="minorEastAsia" w:hAnsiTheme="minorEastAsia" w:cstheme="minorEastAsia"/>
          <w:sz w:val="24"/>
          <w:szCs w:val="24"/>
          <w:lang w:eastAsia="zh-CN"/>
        </w:rPr>
        <w:t>。</w:t>
      </w:r>
    </w:p>
    <w:p w14:paraId="04DC39E9">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447"/>
        <w:gridCol w:w="2440"/>
        <w:gridCol w:w="2340"/>
        <w:gridCol w:w="1400"/>
        <w:gridCol w:w="995"/>
      </w:tblGrid>
      <w:tr w14:paraId="54D7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23" w:type="pct"/>
            <w:vAlign w:val="center"/>
          </w:tcPr>
          <w:p w14:paraId="5A4F98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34" w:type="pct"/>
            <w:vAlign w:val="center"/>
          </w:tcPr>
          <w:p w14:paraId="760AAF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238" w:type="pct"/>
            <w:vAlign w:val="center"/>
          </w:tcPr>
          <w:p w14:paraId="103E09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87" w:type="pct"/>
            <w:vAlign w:val="center"/>
          </w:tcPr>
          <w:p w14:paraId="10A1A4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710" w:type="pct"/>
            <w:vAlign w:val="center"/>
          </w:tcPr>
          <w:p w14:paraId="5A322C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05" w:type="pct"/>
            <w:vAlign w:val="center"/>
          </w:tcPr>
          <w:p w14:paraId="17389F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D84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201C7F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养殖场总体设计</w:t>
            </w:r>
          </w:p>
        </w:tc>
        <w:tc>
          <w:tcPr>
            <w:tcW w:w="734" w:type="pct"/>
            <w:vAlign w:val="center"/>
          </w:tcPr>
          <w:p w14:paraId="16ADFC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养殖场场址选择</w:t>
            </w:r>
          </w:p>
        </w:tc>
        <w:tc>
          <w:tcPr>
            <w:tcW w:w="1238" w:type="pct"/>
            <w:vAlign w:val="center"/>
          </w:tcPr>
          <w:p w14:paraId="4B7BAC7B">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养殖场场址选择的原则，应考虑的自然条件、社会条件因素</w:t>
            </w:r>
          </w:p>
        </w:tc>
        <w:tc>
          <w:tcPr>
            <w:tcW w:w="1187" w:type="pct"/>
            <w:vAlign w:val="center"/>
          </w:tcPr>
          <w:p w14:paraId="0CA90122">
            <w:pPr>
              <w:pStyle w:val="45"/>
              <w:keepNext w:val="0"/>
              <w:keepLines w:val="0"/>
              <w:pageBreakBefore w:val="0"/>
              <w:widowControl w:val="0"/>
              <w:kinsoku/>
              <w:wordWrap/>
              <w:overflowPunct/>
              <w:topLinePunct w:val="0"/>
              <w:autoSpaceDE/>
              <w:autoSpaceDN/>
              <w:bidi w:val="0"/>
              <w:spacing w:before="34" w:line="440" w:lineRule="exact"/>
              <w:jc w:val="center"/>
              <w:textAlignment w:val="auto"/>
              <w:rPr>
                <w:rFonts w:hint="default" w:ascii="宋体" w:hAnsi="宋体" w:eastAsia="仿宋" w:cs="宋体"/>
                <w:sz w:val="21"/>
                <w:szCs w:val="21"/>
                <w:lang w:val="en-US" w:eastAsia="zh-CN"/>
              </w:rPr>
            </w:pPr>
            <w:r>
              <w:rPr>
                <w:rFonts w:hint="eastAsia" w:ascii="宋体" w:hAnsi="宋体" w:eastAsia="宋体" w:cs="宋体"/>
                <w:sz w:val="21"/>
                <w:szCs w:val="21"/>
                <w:lang w:val="en-US" w:eastAsia="zh-CN"/>
              </w:rPr>
              <w:t>能根据要求确定场址，并对现有的养殖场场址进行科学的评价</w:t>
            </w:r>
          </w:p>
        </w:tc>
        <w:tc>
          <w:tcPr>
            <w:tcW w:w="710" w:type="pct"/>
            <w:vAlign w:val="center"/>
          </w:tcPr>
          <w:p w14:paraId="26EB5E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科学精神</w:t>
            </w:r>
          </w:p>
          <w:p w14:paraId="347C60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系统思维</w:t>
            </w:r>
          </w:p>
          <w:p w14:paraId="49170E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安全意识</w:t>
            </w:r>
          </w:p>
        </w:tc>
        <w:tc>
          <w:tcPr>
            <w:tcW w:w="505" w:type="pct"/>
            <w:vAlign w:val="center"/>
          </w:tcPr>
          <w:p w14:paraId="1951E6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2FC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3A44CA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52815C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养殖场分区规划与布局</w:t>
            </w:r>
          </w:p>
        </w:tc>
        <w:tc>
          <w:tcPr>
            <w:tcW w:w="1238" w:type="pct"/>
            <w:vAlign w:val="center"/>
          </w:tcPr>
          <w:p w14:paraId="5D2E7722">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养殖场功能区划分，建筑物合理布局</w:t>
            </w:r>
          </w:p>
        </w:tc>
        <w:tc>
          <w:tcPr>
            <w:tcW w:w="1187" w:type="pct"/>
            <w:vAlign w:val="center"/>
          </w:tcPr>
          <w:p w14:paraId="2CDA3CA7">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能根据生产功能，对养殖场进行合理的分区</w:t>
            </w:r>
          </w:p>
        </w:tc>
        <w:tc>
          <w:tcPr>
            <w:tcW w:w="710" w:type="pct"/>
            <w:vAlign w:val="center"/>
          </w:tcPr>
          <w:p w14:paraId="292A4C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科学精神</w:t>
            </w:r>
          </w:p>
          <w:p w14:paraId="55D521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系统思维</w:t>
            </w:r>
          </w:p>
          <w:p w14:paraId="38110F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安全意识</w:t>
            </w:r>
          </w:p>
        </w:tc>
        <w:tc>
          <w:tcPr>
            <w:tcW w:w="505" w:type="pct"/>
            <w:vAlign w:val="center"/>
          </w:tcPr>
          <w:p w14:paraId="2BB365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13E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6EFA1E7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1A7AE2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养殖场配套设施设置</w:t>
            </w:r>
          </w:p>
        </w:tc>
        <w:tc>
          <w:tcPr>
            <w:tcW w:w="1238" w:type="pct"/>
            <w:vAlign w:val="center"/>
          </w:tcPr>
          <w:p w14:paraId="50C715F9">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养殖场道路设置、防护设施设置、运动设置标准</w:t>
            </w:r>
          </w:p>
        </w:tc>
        <w:tc>
          <w:tcPr>
            <w:tcW w:w="1187" w:type="pct"/>
            <w:vAlign w:val="center"/>
          </w:tcPr>
          <w:p w14:paraId="43AF5B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能根据养殖场内运输及防护要求，合理规划养殖场道路</w:t>
            </w:r>
          </w:p>
        </w:tc>
        <w:tc>
          <w:tcPr>
            <w:tcW w:w="710" w:type="pct"/>
            <w:vAlign w:val="center"/>
          </w:tcPr>
          <w:p w14:paraId="630CAC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工匠精神</w:t>
            </w:r>
          </w:p>
          <w:p w14:paraId="418345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创新意识</w:t>
            </w:r>
          </w:p>
          <w:p w14:paraId="4CE95D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成本观念</w:t>
            </w:r>
          </w:p>
        </w:tc>
        <w:tc>
          <w:tcPr>
            <w:tcW w:w="505" w:type="pct"/>
            <w:vAlign w:val="center"/>
          </w:tcPr>
          <w:p w14:paraId="307364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A27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3C889B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养殖场建筑设计</w:t>
            </w:r>
          </w:p>
        </w:tc>
        <w:tc>
          <w:tcPr>
            <w:tcW w:w="734" w:type="pct"/>
            <w:vAlign w:val="center"/>
          </w:tcPr>
          <w:p w14:paraId="1FF04D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畜禽舍建筑类型选择</w:t>
            </w:r>
          </w:p>
        </w:tc>
        <w:tc>
          <w:tcPr>
            <w:tcW w:w="1238" w:type="pct"/>
            <w:vAlign w:val="center"/>
          </w:tcPr>
          <w:p w14:paraId="63BE7BF2">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畜禽舍类型的选择，畜禽舍建筑设计总体要求</w:t>
            </w:r>
          </w:p>
        </w:tc>
        <w:tc>
          <w:tcPr>
            <w:tcW w:w="1187" w:type="pct"/>
            <w:vAlign w:val="center"/>
          </w:tcPr>
          <w:p w14:paraId="6D9BD6BF">
            <w:pPr>
              <w:pStyle w:val="45"/>
              <w:keepNext w:val="0"/>
              <w:keepLines w:val="0"/>
              <w:pageBreakBefore w:val="0"/>
              <w:widowControl w:val="0"/>
              <w:kinsoku/>
              <w:wordWrap/>
              <w:overflowPunct/>
              <w:topLinePunct w:val="0"/>
              <w:autoSpaceDE/>
              <w:autoSpaceDN/>
              <w:bidi w:val="0"/>
              <w:spacing w:before="268"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能够能将地域气候特征选择合适的畜禽舍类型，并按照建筑结构要求进行合理设计</w:t>
            </w:r>
          </w:p>
        </w:tc>
        <w:tc>
          <w:tcPr>
            <w:tcW w:w="710" w:type="pct"/>
            <w:vAlign w:val="center"/>
          </w:tcPr>
          <w:p w14:paraId="0AFE85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科学精神</w:t>
            </w:r>
          </w:p>
          <w:p w14:paraId="3C3AFB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系统思维</w:t>
            </w:r>
          </w:p>
          <w:p w14:paraId="74CEDA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安全意识</w:t>
            </w:r>
          </w:p>
        </w:tc>
        <w:tc>
          <w:tcPr>
            <w:tcW w:w="505" w:type="pct"/>
            <w:vAlign w:val="center"/>
          </w:tcPr>
          <w:p w14:paraId="5779D3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8B2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F5356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90023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养殖场工艺设计</w:t>
            </w:r>
          </w:p>
        </w:tc>
        <w:tc>
          <w:tcPr>
            <w:tcW w:w="1238" w:type="pct"/>
            <w:vAlign w:val="center"/>
          </w:tcPr>
          <w:p w14:paraId="7FBC5F0A">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养殖场生产工艺流程，养殖场工程工艺内容</w:t>
            </w:r>
          </w:p>
        </w:tc>
        <w:tc>
          <w:tcPr>
            <w:tcW w:w="1187" w:type="pct"/>
            <w:vAlign w:val="center"/>
          </w:tcPr>
          <w:p w14:paraId="1C3438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能根据畜禽的饲养阶段划分，合理确定相应的生产工艺流程</w:t>
            </w:r>
          </w:p>
        </w:tc>
        <w:tc>
          <w:tcPr>
            <w:tcW w:w="710" w:type="pct"/>
            <w:vAlign w:val="center"/>
          </w:tcPr>
          <w:p w14:paraId="7C6315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科学精神</w:t>
            </w:r>
          </w:p>
          <w:p w14:paraId="66B22B3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系统思维</w:t>
            </w:r>
          </w:p>
          <w:p w14:paraId="2259AB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安全意识</w:t>
            </w:r>
          </w:p>
        </w:tc>
        <w:tc>
          <w:tcPr>
            <w:tcW w:w="505" w:type="pct"/>
            <w:vAlign w:val="center"/>
          </w:tcPr>
          <w:p w14:paraId="28C38E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833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7CD068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畜禽舍的环境控制</w:t>
            </w:r>
          </w:p>
        </w:tc>
        <w:tc>
          <w:tcPr>
            <w:tcW w:w="734" w:type="pct"/>
            <w:vAlign w:val="center"/>
          </w:tcPr>
          <w:p w14:paraId="0C24EF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畜禽舍光照控制</w:t>
            </w:r>
          </w:p>
        </w:tc>
        <w:tc>
          <w:tcPr>
            <w:tcW w:w="1238" w:type="pct"/>
            <w:vAlign w:val="center"/>
          </w:tcPr>
          <w:p w14:paraId="0CA60DCF">
            <w:pPr>
              <w:pStyle w:val="45"/>
              <w:keepNext w:val="0"/>
              <w:keepLines w:val="0"/>
              <w:pageBreakBefore w:val="0"/>
              <w:widowControl w:val="0"/>
              <w:kinsoku/>
              <w:wordWrap/>
              <w:overflowPunct/>
              <w:topLinePunct w:val="0"/>
              <w:autoSpaceDE/>
              <w:autoSpaceDN/>
              <w:bidi w:val="0"/>
              <w:spacing w:before="38"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紫外线、红外线、可见光的生物学作用及应用，畜禽舍采光设计</w:t>
            </w:r>
          </w:p>
        </w:tc>
        <w:tc>
          <w:tcPr>
            <w:tcW w:w="1187" w:type="pct"/>
            <w:vAlign w:val="center"/>
          </w:tcPr>
          <w:p w14:paraId="6536D9E0">
            <w:pPr>
              <w:pStyle w:val="45"/>
              <w:keepNext w:val="0"/>
              <w:keepLines w:val="0"/>
              <w:pageBreakBefore w:val="0"/>
              <w:widowControl w:val="0"/>
              <w:kinsoku/>
              <w:wordWrap/>
              <w:overflowPunct/>
              <w:topLinePunct w:val="0"/>
              <w:autoSpaceDE/>
              <w:autoSpaceDN/>
              <w:bidi w:val="0"/>
              <w:spacing w:before="179"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能根据畜禽生产需要合理设计人工采光方案</w:t>
            </w:r>
          </w:p>
        </w:tc>
        <w:tc>
          <w:tcPr>
            <w:tcW w:w="710" w:type="pct"/>
            <w:vAlign w:val="center"/>
          </w:tcPr>
          <w:p w14:paraId="030B46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32C26D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生命关怀</w:t>
            </w:r>
          </w:p>
          <w:p w14:paraId="0AC99F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细节意识</w:t>
            </w:r>
          </w:p>
        </w:tc>
        <w:tc>
          <w:tcPr>
            <w:tcW w:w="505" w:type="pct"/>
            <w:vAlign w:val="center"/>
          </w:tcPr>
          <w:p w14:paraId="690934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F16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60425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F1606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畜禽舍温度控制</w:t>
            </w:r>
          </w:p>
        </w:tc>
        <w:tc>
          <w:tcPr>
            <w:tcW w:w="1238" w:type="pct"/>
            <w:vAlign w:val="center"/>
          </w:tcPr>
          <w:p w14:paraId="38D2F7D6">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等热区、临界温度在畜牧生产中的意义，气温对畜禽的影响，畜禽舍温度的调控</w:t>
            </w:r>
          </w:p>
        </w:tc>
        <w:tc>
          <w:tcPr>
            <w:tcW w:w="1187" w:type="pct"/>
            <w:vAlign w:val="center"/>
          </w:tcPr>
          <w:p w14:paraId="28D1A17D">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能制定畜禽舍防寒保暖、防暑降温措施，能正确使用温度计进行气温及舍温的测定</w:t>
            </w:r>
          </w:p>
        </w:tc>
        <w:tc>
          <w:tcPr>
            <w:tcW w:w="710" w:type="pct"/>
            <w:vAlign w:val="center"/>
          </w:tcPr>
          <w:p w14:paraId="4DFFC3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71B515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生命关怀</w:t>
            </w:r>
          </w:p>
          <w:p w14:paraId="518308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细节意识</w:t>
            </w:r>
          </w:p>
        </w:tc>
        <w:tc>
          <w:tcPr>
            <w:tcW w:w="505" w:type="pct"/>
            <w:vAlign w:val="center"/>
          </w:tcPr>
          <w:p w14:paraId="29FDF6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2A0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29817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6A66F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畜禽舍湿度控制</w:t>
            </w:r>
          </w:p>
        </w:tc>
        <w:tc>
          <w:tcPr>
            <w:tcW w:w="1238" w:type="pct"/>
            <w:vAlign w:val="center"/>
          </w:tcPr>
          <w:p w14:paraId="6302EC99">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畜禽舍内湿度的来源与分布，空气湿度对畜禽健康和生产力的影响，畜禽舍湿度调控措施</w:t>
            </w:r>
          </w:p>
        </w:tc>
        <w:tc>
          <w:tcPr>
            <w:tcW w:w="1187" w:type="pct"/>
            <w:vAlign w:val="center"/>
          </w:tcPr>
          <w:p w14:paraId="3826A9E0">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能制订畜禽舍内防潮措施，能正确进行畜禽舍湿度的测定和评价</w:t>
            </w:r>
          </w:p>
        </w:tc>
        <w:tc>
          <w:tcPr>
            <w:tcW w:w="710" w:type="pct"/>
            <w:vAlign w:val="center"/>
          </w:tcPr>
          <w:p w14:paraId="335F5D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5B7CF9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生命关怀</w:t>
            </w:r>
          </w:p>
          <w:p w14:paraId="0316F2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细节意识</w:t>
            </w:r>
          </w:p>
        </w:tc>
        <w:tc>
          <w:tcPr>
            <w:tcW w:w="505" w:type="pct"/>
            <w:vAlign w:val="center"/>
          </w:tcPr>
          <w:p w14:paraId="223C80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5FB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7E627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1162DDE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畜禽舍气流控制</w:t>
            </w:r>
          </w:p>
        </w:tc>
        <w:tc>
          <w:tcPr>
            <w:tcW w:w="1238" w:type="pct"/>
            <w:vAlign w:val="center"/>
          </w:tcPr>
          <w:p w14:paraId="4EBF1CA7">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气流的产生与变动，气流对畜禽的影响，畜禽舍气流控制</w:t>
            </w:r>
          </w:p>
        </w:tc>
        <w:tc>
          <w:tcPr>
            <w:tcW w:w="1187" w:type="pct"/>
            <w:vAlign w:val="center"/>
          </w:tcPr>
          <w:p w14:paraId="68073B0D">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能够进行畜禽舍纵向通风设计，能独立完成气流的测定</w:t>
            </w:r>
          </w:p>
        </w:tc>
        <w:tc>
          <w:tcPr>
            <w:tcW w:w="710" w:type="pct"/>
            <w:vAlign w:val="center"/>
          </w:tcPr>
          <w:p w14:paraId="13B365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3F6420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生命关怀</w:t>
            </w:r>
          </w:p>
          <w:p w14:paraId="7512A4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细节意识</w:t>
            </w:r>
          </w:p>
        </w:tc>
        <w:tc>
          <w:tcPr>
            <w:tcW w:w="505" w:type="pct"/>
            <w:vAlign w:val="center"/>
          </w:tcPr>
          <w:p w14:paraId="0CB4AB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AB5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C772F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1323C5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畜禽舍空气质量调控</w:t>
            </w:r>
          </w:p>
        </w:tc>
        <w:tc>
          <w:tcPr>
            <w:tcW w:w="1238" w:type="pct"/>
            <w:vAlign w:val="center"/>
          </w:tcPr>
          <w:p w14:paraId="5F5A0C38">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畜禽舍空气中有害气体、空气中微粒、空气中微生物的调控</w:t>
            </w:r>
          </w:p>
        </w:tc>
        <w:tc>
          <w:tcPr>
            <w:tcW w:w="1187" w:type="pct"/>
            <w:vAlign w:val="center"/>
          </w:tcPr>
          <w:p w14:paraId="0F6C9B67">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能针对畜禽舍空气中有害气体、微粒、微生物进行有效控制，会测定畜禽舍中有害气体的浓度</w:t>
            </w:r>
          </w:p>
        </w:tc>
        <w:tc>
          <w:tcPr>
            <w:tcW w:w="710" w:type="pct"/>
            <w:vAlign w:val="center"/>
          </w:tcPr>
          <w:p w14:paraId="293827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2E6F93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环保意识</w:t>
            </w:r>
          </w:p>
          <w:p w14:paraId="16360FE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tc>
        <w:tc>
          <w:tcPr>
            <w:tcW w:w="505" w:type="pct"/>
            <w:vAlign w:val="center"/>
          </w:tcPr>
          <w:p w14:paraId="5ED32A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C6D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57B26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养殖场环境管理、监测与评价</w:t>
            </w:r>
          </w:p>
        </w:tc>
        <w:tc>
          <w:tcPr>
            <w:tcW w:w="734" w:type="pct"/>
            <w:vAlign w:val="center"/>
          </w:tcPr>
          <w:p w14:paraId="09B26F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养殖场环境管理</w:t>
            </w:r>
          </w:p>
        </w:tc>
        <w:tc>
          <w:tcPr>
            <w:tcW w:w="1238" w:type="pct"/>
            <w:vAlign w:val="center"/>
          </w:tcPr>
          <w:p w14:paraId="239909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养殖场环境消毒和防鼠、灭虫的方法</w:t>
            </w:r>
          </w:p>
        </w:tc>
        <w:tc>
          <w:tcPr>
            <w:tcW w:w="1187" w:type="pct"/>
            <w:vAlign w:val="center"/>
          </w:tcPr>
          <w:p w14:paraId="3876D41A">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能将养殖场环境消毒的不同方法应用到生产上</w:t>
            </w:r>
          </w:p>
        </w:tc>
        <w:tc>
          <w:tcPr>
            <w:tcW w:w="710" w:type="pct"/>
            <w:vAlign w:val="center"/>
          </w:tcPr>
          <w:p w14:paraId="6238F9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1F88A0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规范操作</w:t>
            </w:r>
          </w:p>
          <w:p w14:paraId="5994DF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公共安全</w:t>
            </w:r>
          </w:p>
        </w:tc>
        <w:tc>
          <w:tcPr>
            <w:tcW w:w="505" w:type="pct"/>
            <w:vAlign w:val="center"/>
          </w:tcPr>
          <w:p w14:paraId="08B41F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77A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F9604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6AFECA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养殖场环境监测</w:t>
            </w:r>
          </w:p>
        </w:tc>
        <w:tc>
          <w:tcPr>
            <w:tcW w:w="1238" w:type="pct"/>
            <w:vAlign w:val="center"/>
          </w:tcPr>
          <w:p w14:paraId="2A0364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养殖场环境监测的对象及一般方法</w:t>
            </w:r>
          </w:p>
        </w:tc>
        <w:tc>
          <w:tcPr>
            <w:tcW w:w="1187" w:type="pct"/>
            <w:vAlign w:val="center"/>
          </w:tcPr>
          <w:p w14:paraId="0357C525">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能根据环境监测内容对养殖场环境进行监测布点与采样</w:t>
            </w:r>
          </w:p>
        </w:tc>
        <w:tc>
          <w:tcPr>
            <w:tcW w:w="710" w:type="pct"/>
            <w:vAlign w:val="center"/>
          </w:tcPr>
          <w:p w14:paraId="6332FB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实事求是</w:t>
            </w:r>
          </w:p>
          <w:p w14:paraId="134767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规范操作</w:t>
            </w:r>
          </w:p>
          <w:p w14:paraId="44867D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公共安全</w:t>
            </w:r>
          </w:p>
        </w:tc>
        <w:tc>
          <w:tcPr>
            <w:tcW w:w="505" w:type="pct"/>
            <w:vAlign w:val="center"/>
          </w:tcPr>
          <w:p w14:paraId="5C3BDA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FC5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04FC46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8C00E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养殖场环境评价</w:t>
            </w:r>
          </w:p>
        </w:tc>
        <w:tc>
          <w:tcPr>
            <w:tcW w:w="1238" w:type="pct"/>
            <w:vAlign w:val="center"/>
          </w:tcPr>
          <w:p w14:paraId="1A0951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养殖场环境评价方法，养殖场环境质量现状评价工作程序及内容</w:t>
            </w:r>
          </w:p>
        </w:tc>
        <w:tc>
          <w:tcPr>
            <w:tcW w:w="1187" w:type="pct"/>
            <w:vAlign w:val="center"/>
          </w:tcPr>
          <w:p w14:paraId="7CA1355B">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能根据养殖场主要的评价指标，正确评价养殖场的环境</w:t>
            </w:r>
          </w:p>
        </w:tc>
        <w:tc>
          <w:tcPr>
            <w:tcW w:w="710" w:type="pct"/>
            <w:vAlign w:val="center"/>
          </w:tcPr>
          <w:p w14:paraId="110E21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实事求是</w:t>
            </w:r>
          </w:p>
          <w:p w14:paraId="2A0D90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规范操作</w:t>
            </w:r>
          </w:p>
          <w:p w14:paraId="1A7D19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公共安全</w:t>
            </w:r>
          </w:p>
        </w:tc>
        <w:tc>
          <w:tcPr>
            <w:tcW w:w="505" w:type="pct"/>
            <w:vAlign w:val="center"/>
          </w:tcPr>
          <w:p w14:paraId="5FEF68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63E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742913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养殖场污物治理技术</w:t>
            </w:r>
          </w:p>
        </w:tc>
        <w:tc>
          <w:tcPr>
            <w:tcW w:w="734" w:type="pct"/>
            <w:vAlign w:val="center"/>
          </w:tcPr>
          <w:p w14:paraId="756AA1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粪便的无害化处理与资源化利用</w:t>
            </w:r>
          </w:p>
        </w:tc>
        <w:tc>
          <w:tcPr>
            <w:tcW w:w="1238" w:type="pct"/>
            <w:vAlign w:val="center"/>
          </w:tcPr>
          <w:p w14:paraId="759589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养殖场粪污</w:t>
            </w:r>
            <w:r>
              <w:rPr>
                <w:rFonts w:hint="eastAsia" w:ascii="宋体" w:hAnsi="宋体" w:eastAsia="宋体" w:cs="宋体"/>
                <w:sz w:val="21"/>
                <w:szCs w:val="21"/>
                <w:lang w:val="en-US" w:eastAsia="zh-CN"/>
              </w:rPr>
              <w:t>无害化处理与资源化利用的主要方法</w:t>
            </w:r>
          </w:p>
        </w:tc>
        <w:tc>
          <w:tcPr>
            <w:tcW w:w="1187" w:type="pct"/>
            <w:vAlign w:val="center"/>
          </w:tcPr>
          <w:p w14:paraId="11CB137F">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能根据当地具体条件，选择合理的妥善处理畜禽粪便方法</w:t>
            </w:r>
          </w:p>
        </w:tc>
        <w:tc>
          <w:tcPr>
            <w:tcW w:w="710" w:type="pct"/>
            <w:vAlign w:val="center"/>
          </w:tcPr>
          <w:p w14:paraId="063B8B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5C6E1E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循环经济</w:t>
            </w:r>
          </w:p>
          <w:p w14:paraId="11CBFC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环保意识</w:t>
            </w:r>
          </w:p>
          <w:p w14:paraId="6AD87D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技术创新</w:t>
            </w:r>
          </w:p>
        </w:tc>
        <w:tc>
          <w:tcPr>
            <w:tcW w:w="505" w:type="pct"/>
            <w:vAlign w:val="center"/>
          </w:tcPr>
          <w:p w14:paraId="05C077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F56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1E03E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B8686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养殖场污水处理与利用</w:t>
            </w:r>
          </w:p>
        </w:tc>
        <w:tc>
          <w:tcPr>
            <w:tcW w:w="1238" w:type="pct"/>
            <w:vAlign w:val="center"/>
          </w:tcPr>
          <w:p w14:paraId="01C1A2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养殖场污水处理的方法及工艺流程</w:t>
            </w:r>
          </w:p>
        </w:tc>
        <w:tc>
          <w:tcPr>
            <w:tcW w:w="1187" w:type="pct"/>
            <w:vAlign w:val="center"/>
          </w:tcPr>
          <w:p w14:paraId="4946CB16">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能根据养殖场的规模，合理制定污水处理的可行性方案</w:t>
            </w:r>
          </w:p>
        </w:tc>
        <w:tc>
          <w:tcPr>
            <w:tcW w:w="710" w:type="pct"/>
            <w:vAlign w:val="center"/>
          </w:tcPr>
          <w:p w14:paraId="1850EC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787577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环保意识</w:t>
            </w:r>
          </w:p>
          <w:p w14:paraId="01E7DF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可持续发展</w:t>
            </w:r>
          </w:p>
          <w:p w14:paraId="5526A6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技术创新</w:t>
            </w:r>
          </w:p>
        </w:tc>
        <w:tc>
          <w:tcPr>
            <w:tcW w:w="505" w:type="pct"/>
            <w:vAlign w:val="center"/>
          </w:tcPr>
          <w:p w14:paraId="200612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1CD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ED353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3FE734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病死畜禽无害化处理与利用</w:t>
            </w:r>
          </w:p>
        </w:tc>
        <w:tc>
          <w:tcPr>
            <w:tcW w:w="1238" w:type="pct"/>
            <w:vAlign w:val="center"/>
          </w:tcPr>
          <w:p w14:paraId="1CC0BB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病死畜禽无害化处理与利用的方法及工艺流程</w:t>
            </w:r>
          </w:p>
        </w:tc>
        <w:tc>
          <w:tcPr>
            <w:tcW w:w="1187" w:type="pct"/>
            <w:vAlign w:val="center"/>
          </w:tcPr>
          <w:p w14:paraId="41324879">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能根据养殖场的规模、性质和要求正确选择</w:t>
            </w:r>
            <w:r>
              <w:rPr>
                <w:rFonts w:hint="eastAsia" w:ascii="宋体" w:hAnsi="宋体" w:eastAsia="宋体" w:cs="宋体"/>
                <w:sz w:val="21"/>
                <w:szCs w:val="21"/>
                <w:lang w:val="en-US" w:eastAsia="zh-CN"/>
              </w:rPr>
              <w:t>病死畜禽无害化处理的方法</w:t>
            </w:r>
          </w:p>
        </w:tc>
        <w:tc>
          <w:tcPr>
            <w:tcW w:w="710" w:type="pct"/>
            <w:vAlign w:val="center"/>
          </w:tcPr>
          <w:p w14:paraId="1DFFDD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466529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环保意识</w:t>
            </w:r>
          </w:p>
          <w:p w14:paraId="5351DA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技术创新</w:t>
            </w:r>
          </w:p>
        </w:tc>
        <w:tc>
          <w:tcPr>
            <w:tcW w:w="505" w:type="pct"/>
            <w:vAlign w:val="center"/>
          </w:tcPr>
          <w:p w14:paraId="3E3854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3CA81FCB">
      <w:pPr>
        <w:pStyle w:val="3"/>
        <w:bidi w:val="0"/>
        <w:rPr>
          <w:rFonts w:hint="eastAsia"/>
          <w:lang w:val="en-US" w:eastAsia="zh-CN"/>
        </w:rPr>
      </w:pPr>
      <w:r>
        <w:rPr>
          <w:rFonts w:hint="eastAsia"/>
          <w:lang w:val="en-US" w:eastAsia="zh-CN"/>
        </w:rPr>
        <w:t>六、课程考核与评价</w:t>
      </w:r>
    </w:p>
    <w:p w14:paraId="0DC42E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7742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F10CA7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2DD7B81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36F2E8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384AD7B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4C8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213FF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32A226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1F9F714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2C70A82B">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6B37463A">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出勤制度（30%）、作业（40%）、课堂提问（30%）</w:t>
            </w:r>
          </w:p>
        </w:tc>
      </w:tr>
      <w:tr w14:paraId="032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08E46A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EED4C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44F9DCE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45D4414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BD1D5F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6FD3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8B72AC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87EEA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6" w:type="pct"/>
            <w:tcBorders>
              <w:left w:val="single" w:color="auto" w:sz="4" w:space="0"/>
              <w:right w:val="single" w:color="auto" w:sz="4" w:space="0"/>
            </w:tcBorders>
            <w:vAlign w:val="center"/>
          </w:tcPr>
          <w:p w14:paraId="4F9A5D3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368704E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4DA6032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7DF2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39DD9B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0422D7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1E0ED87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以技能操作和养殖场环境控制方式进行</w:t>
            </w:r>
          </w:p>
        </w:tc>
        <w:tc>
          <w:tcPr>
            <w:tcW w:w="719" w:type="pct"/>
            <w:tcBorders>
              <w:left w:val="single" w:color="auto" w:sz="4" w:space="0"/>
              <w:right w:val="single" w:color="auto" w:sz="4" w:space="0"/>
            </w:tcBorders>
            <w:vAlign w:val="center"/>
          </w:tcPr>
          <w:p w14:paraId="78CF401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A90C5B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以学生动手能力和对养殖场环境控制操作能力进行考核</w:t>
            </w:r>
          </w:p>
        </w:tc>
      </w:tr>
      <w:tr w14:paraId="0892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92E9E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6697942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6ECA224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BEFF17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对课程进行总体考核，考核学生对基本知识和基本技能的掌握程度</w:t>
            </w:r>
          </w:p>
        </w:tc>
      </w:tr>
    </w:tbl>
    <w:p w14:paraId="429F19CA">
      <w:pPr>
        <w:pStyle w:val="3"/>
        <w:bidi w:val="0"/>
        <w:rPr>
          <w:rFonts w:hint="eastAsia"/>
          <w:lang w:val="en-US" w:eastAsia="zh-CN"/>
        </w:rPr>
      </w:pPr>
      <w:r>
        <w:rPr>
          <w:rFonts w:hint="eastAsia"/>
          <w:lang w:val="en-US" w:eastAsia="zh-CN"/>
        </w:rPr>
        <w:t>七、课程实施与保障</w:t>
      </w:r>
    </w:p>
    <w:p w14:paraId="024810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C3D1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本课程建议采用探究式以及项目教学方法，选用线上教学组织形式，建议采用信息化教学法、小组协作等教学方法，选用小组合作等学习方法,依托校内学习通等课程资源和教学平台实施教学。</w:t>
      </w:r>
    </w:p>
    <w:p w14:paraId="18A5D3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E5C7C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生态文明”、“绿色环保”的课程思政价值链，结合中国科学家以及行业畜牧师的经历，将生态文明意识和绿色环保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70600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054B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A730B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18007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D2BE5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568"/>
        <w:gridCol w:w="4051"/>
        <w:gridCol w:w="2464"/>
      </w:tblGrid>
      <w:tr w14:paraId="1680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top"/>
          </w:tcPr>
          <w:p w14:paraId="0CBD982C">
            <w:pPr>
              <w:pStyle w:val="9"/>
              <w:ind w:firstLine="0" w:firstLineChars="0"/>
              <w:rPr>
                <w:rFonts w:ascii="宋体" w:hAnsi="宋体" w:cs="宋体"/>
                <w:iCs/>
                <w:sz w:val="21"/>
                <w:szCs w:val="21"/>
              </w:rPr>
            </w:pPr>
            <w:r>
              <w:rPr>
                <w:rFonts w:hint="eastAsia" w:ascii="宋体" w:hAnsi="宋体" w:cs="宋体"/>
                <w:iCs/>
                <w:sz w:val="21"/>
                <w:szCs w:val="21"/>
              </w:rPr>
              <w:t>序号</w:t>
            </w:r>
          </w:p>
        </w:tc>
        <w:tc>
          <w:tcPr>
            <w:tcW w:w="1303" w:type="pct"/>
            <w:noWrap w:val="0"/>
            <w:vAlign w:val="top"/>
          </w:tcPr>
          <w:p w14:paraId="5354C259">
            <w:pPr>
              <w:pStyle w:val="9"/>
              <w:ind w:firstLine="0" w:firstLineChars="0"/>
              <w:rPr>
                <w:rFonts w:ascii="宋体" w:hAnsi="宋体" w:cs="宋体"/>
                <w:iCs/>
                <w:sz w:val="21"/>
                <w:szCs w:val="21"/>
              </w:rPr>
            </w:pPr>
            <w:r>
              <w:rPr>
                <w:rFonts w:hint="eastAsia" w:ascii="宋体" w:hAnsi="宋体" w:cs="宋体"/>
                <w:iCs/>
                <w:sz w:val="21"/>
                <w:szCs w:val="21"/>
              </w:rPr>
              <w:t>名称</w:t>
            </w:r>
          </w:p>
        </w:tc>
        <w:tc>
          <w:tcPr>
            <w:tcW w:w="2055" w:type="pct"/>
            <w:noWrap w:val="0"/>
            <w:vAlign w:val="top"/>
          </w:tcPr>
          <w:p w14:paraId="352DA4A7">
            <w:pPr>
              <w:pStyle w:val="9"/>
              <w:ind w:firstLine="0" w:firstLineChars="0"/>
              <w:rPr>
                <w:rFonts w:ascii="宋体" w:hAnsi="宋体" w:cs="宋体"/>
                <w:iCs/>
                <w:sz w:val="21"/>
                <w:szCs w:val="21"/>
              </w:rPr>
            </w:pPr>
            <w:r>
              <w:rPr>
                <w:rFonts w:hint="eastAsia" w:ascii="宋体" w:hAnsi="宋体" w:cs="宋体"/>
                <w:iCs/>
                <w:sz w:val="21"/>
                <w:szCs w:val="21"/>
              </w:rPr>
              <w:t>基本配置要求</w:t>
            </w:r>
          </w:p>
        </w:tc>
        <w:tc>
          <w:tcPr>
            <w:tcW w:w="1250" w:type="pct"/>
            <w:noWrap w:val="0"/>
            <w:vAlign w:val="top"/>
          </w:tcPr>
          <w:p w14:paraId="0AC6C843">
            <w:pPr>
              <w:pStyle w:val="9"/>
              <w:ind w:firstLine="0" w:firstLineChars="0"/>
              <w:rPr>
                <w:rFonts w:ascii="宋体" w:hAnsi="宋体" w:cs="宋体"/>
                <w:iCs/>
                <w:sz w:val="21"/>
                <w:szCs w:val="21"/>
              </w:rPr>
            </w:pPr>
            <w:r>
              <w:rPr>
                <w:rFonts w:hint="eastAsia" w:ascii="宋体" w:hAnsi="宋体" w:cs="宋体"/>
                <w:iCs/>
                <w:sz w:val="21"/>
                <w:szCs w:val="21"/>
              </w:rPr>
              <w:t>功能说明</w:t>
            </w:r>
          </w:p>
        </w:tc>
      </w:tr>
      <w:tr w14:paraId="777E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0A56A7D8">
            <w:pPr>
              <w:pStyle w:val="9"/>
              <w:ind w:firstLine="0" w:firstLineChars="0"/>
              <w:rPr>
                <w:rFonts w:ascii="宋体" w:hAnsi="宋体" w:cs="宋体"/>
                <w:iCs/>
                <w:sz w:val="21"/>
                <w:szCs w:val="21"/>
              </w:rPr>
            </w:pPr>
            <w:r>
              <w:rPr>
                <w:rFonts w:hint="eastAsia" w:ascii="宋体" w:hAnsi="宋体" w:cs="宋体"/>
                <w:iCs/>
                <w:sz w:val="21"/>
                <w:szCs w:val="21"/>
              </w:rPr>
              <w:t>1</w:t>
            </w:r>
          </w:p>
        </w:tc>
        <w:tc>
          <w:tcPr>
            <w:tcW w:w="1303" w:type="pct"/>
            <w:noWrap w:val="0"/>
            <w:vAlign w:val="center"/>
          </w:tcPr>
          <w:p w14:paraId="24671AC6">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55" w:type="pct"/>
            <w:noWrap w:val="0"/>
            <w:vAlign w:val="center"/>
          </w:tcPr>
          <w:p w14:paraId="58E56BFC">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50" w:type="pct"/>
            <w:noWrap w:val="0"/>
            <w:vAlign w:val="center"/>
          </w:tcPr>
          <w:p w14:paraId="125DA1F3">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4DE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39FB22E3">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03" w:type="pct"/>
            <w:noWrap w:val="0"/>
            <w:vAlign w:val="center"/>
          </w:tcPr>
          <w:p w14:paraId="6AD8B1E9">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rPr>
              <w:t>动物</w:t>
            </w:r>
            <w:r>
              <w:rPr>
                <w:rFonts w:hint="eastAsia" w:ascii="宋体" w:hAnsi="宋体" w:cs="宋体"/>
                <w:iCs/>
                <w:sz w:val="21"/>
                <w:szCs w:val="21"/>
                <w:lang w:val="en-US" w:eastAsia="zh-CN"/>
              </w:rPr>
              <w:t>生产</w:t>
            </w:r>
            <w:r>
              <w:rPr>
                <w:rFonts w:hint="eastAsia" w:ascii="宋体" w:hAnsi="宋体" w:cs="宋体"/>
                <w:iCs/>
                <w:sz w:val="21"/>
                <w:szCs w:val="21"/>
              </w:rPr>
              <w:t>虚拟</w:t>
            </w:r>
            <w:r>
              <w:rPr>
                <w:rFonts w:hint="eastAsia" w:ascii="宋体" w:hAnsi="宋体" w:cs="宋体"/>
                <w:iCs/>
                <w:sz w:val="21"/>
                <w:szCs w:val="21"/>
                <w:lang w:val="en-US" w:eastAsia="zh-CN"/>
              </w:rPr>
              <w:t>仿真</w:t>
            </w:r>
            <w:r>
              <w:rPr>
                <w:rFonts w:hint="eastAsia" w:ascii="宋体" w:hAnsi="宋体" w:cs="宋体"/>
                <w:iCs/>
                <w:sz w:val="21"/>
                <w:szCs w:val="21"/>
              </w:rPr>
              <w:t>实训室</w:t>
            </w:r>
          </w:p>
        </w:tc>
        <w:tc>
          <w:tcPr>
            <w:tcW w:w="2055" w:type="pct"/>
            <w:noWrap w:val="0"/>
            <w:vAlign w:val="center"/>
          </w:tcPr>
          <w:p w14:paraId="443F6A53">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粪污处理工艺仿真软件</w:t>
            </w:r>
          </w:p>
        </w:tc>
        <w:tc>
          <w:tcPr>
            <w:tcW w:w="1250" w:type="pct"/>
            <w:noWrap w:val="0"/>
            <w:vAlign w:val="center"/>
          </w:tcPr>
          <w:p w14:paraId="78F22FD6">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rPr>
              <w:t>虚拟仿真软件成像进行</w:t>
            </w:r>
            <w:r>
              <w:rPr>
                <w:rFonts w:hint="eastAsia" w:ascii="宋体" w:hAnsi="宋体" w:cs="宋体"/>
                <w:iCs/>
                <w:sz w:val="21"/>
                <w:szCs w:val="21"/>
                <w:lang w:val="en-US" w:eastAsia="zh-CN"/>
              </w:rPr>
              <w:t>养殖场粪污处理</w:t>
            </w:r>
          </w:p>
        </w:tc>
      </w:tr>
      <w:tr w14:paraId="1E56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253D6769">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3</w:t>
            </w:r>
          </w:p>
        </w:tc>
        <w:tc>
          <w:tcPr>
            <w:tcW w:w="1303" w:type="pct"/>
            <w:noWrap w:val="0"/>
            <w:vAlign w:val="center"/>
          </w:tcPr>
          <w:p w14:paraId="7B04D316">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环境监测实训室</w:t>
            </w:r>
          </w:p>
        </w:tc>
        <w:tc>
          <w:tcPr>
            <w:tcW w:w="2055" w:type="pct"/>
            <w:noWrap w:val="0"/>
            <w:vAlign w:val="center"/>
          </w:tcPr>
          <w:p w14:paraId="25C57302">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环境监测仪器设备</w:t>
            </w:r>
          </w:p>
        </w:tc>
        <w:tc>
          <w:tcPr>
            <w:tcW w:w="1250" w:type="pct"/>
            <w:noWrap w:val="0"/>
            <w:vAlign w:val="center"/>
          </w:tcPr>
          <w:p w14:paraId="5E505FFA">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测定养殖场环境指标</w:t>
            </w:r>
          </w:p>
        </w:tc>
      </w:tr>
    </w:tbl>
    <w:p w14:paraId="07F12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0C57F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7D3FC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主要参考书目《禽畜环境卫生与控制技术》、《养殖场环境卫生与畜禽健康生产》、《畜禽环境控制技术》。</w:t>
      </w:r>
    </w:p>
    <w:p w14:paraId="38C03F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主要参考学术期刊《中国畜牧兽医》、《黑龙江畜牧兽医》、《畜牧兽医学报》、《畜牧与兽医》。</w:t>
      </w:r>
    </w:p>
    <w:p w14:paraId="5BEBD5C0">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1871ED2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智慧职教、中国大学慕课、学习通、学习强国。</w:t>
      </w:r>
    </w:p>
    <w:p w14:paraId="71ED1F4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7FCD659">
      <w:pPr>
        <w:pStyle w:val="2"/>
        <w:bidi w:val="0"/>
        <w:jc w:val="center"/>
        <w:rPr>
          <w:rFonts w:hint="eastAsia"/>
          <w:lang w:val="en-US" w:eastAsia="zh-CN"/>
        </w:rPr>
      </w:pPr>
      <w:bookmarkStart w:id="30" w:name="_Toc32469"/>
      <w:bookmarkStart w:id="31" w:name="_Toc1460"/>
      <w:r>
        <w:rPr>
          <w:rFonts w:hint="eastAsia"/>
          <w:lang w:val="en-US" w:eastAsia="zh-CN"/>
        </w:rPr>
        <w:t>《牛羊生产》课程标准</w:t>
      </w:r>
      <w:bookmarkEnd w:id="30"/>
      <w:bookmarkEnd w:id="31"/>
    </w:p>
    <w:p w14:paraId="1B8623D3">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4AD8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2D6542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514532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牛羊生产</w:t>
            </w:r>
          </w:p>
        </w:tc>
        <w:tc>
          <w:tcPr>
            <w:tcW w:w="975" w:type="dxa"/>
            <w:tcBorders>
              <w:top w:val="single" w:color="auto" w:sz="4" w:space="0"/>
              <w:left w:val="single" w:color="auto" w:sz="4" w:space="0"/>
              <w:bottom w:val="single" w:color="auto" w:sz="4" w:space="0"/>
              <w:right w:val="single" w:color="auto" w:sz="4" w:space="0"/>
            </w:tcBorders>
            <w:vAlign w:val="center"/>
          </w:tcPr>
          <w:p w14:paraId="4760005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CAD258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000000"/>
                <w:kern w:val="0"/>
                <w:sz w:val="18"/>
                <w:szCs w:val="18"/>
                <w:u w:val="none"/>
                <w:lang w:val="en-US" w:eastAsia="zh-CN" w:bidi="ar"/>
              </w:rPr>
              <w:t>xcxm24011</w:t>
            </w:r>
          </w:p>
        </w:tc>
      </w:tr>
      <w:tr w14:paraId="319E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BC11E9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E219C95">
            <w:pPr>
              <w:jc w:val="center"/>
              <w:rPr>
                <w:rFonts w:hint="default" w:eastAsiaTheme="minorEastAsia"/>
                <w:lang w:val="en-US" w:eastAsia="zh-CN"/>
              </w:rPr>
            </w:pPr>
            <w:r>
              <w:rPr>
                <w:rFonts w:hint="eastAsia"/>
                <w:lang w:val="en-US" w:eastAsia="zh-CN"/>
              </w:rPr>
              <w:t>64学时</w:t>
            </w:r>
          </w:p>
        </w:tc>
        <w:tc>
          <w:tcPr>
            <w:tcW w:w="1595" w:type="dxa"/>
            <w:tcBorders>
              <w:top w:val="single" w:color="auto" w:sz="4" w:space="0"/>
              <w:left w:val="single" w:color="auto" w:sz="4" w:space="0"/>
              <w:bottom w:val="single" w:color="auto" w:sz="4" w:space="0"/>
              <w:right w:val="single" w:color="auto" w:sz="4" w:space="0"/>
            </w:tcBorders>
          </w:tcPr>
          <w:p w14:paraId="377AB0EB">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092B4EE">
            <w:pPr>
              <w:jc w:val="center"/>
              <w:rPr>
                <w:rFonts w:hint="eastAsia"/>
                <w:lang w:val="en-US" w:eastAsia="zh-CN"/>
              </w:rPr>
            </w:pPr>
            <w:r>
              <w:rPr>
                <w:rFonts w:hint="eastAsia"/>
                <w:lang w:val="en-US" w:eastAsia="zh-CN"/>
              </w:rPr>
              <w:t>24学时</w:t>
            </w:r>
          </w:p>
        </w:tc>
        <w:tc>
          <w:tcPr>
            <w:tcW w:w="975" w:type="dxa"/>
            <w:tcBorders>
              <w:top w:val="single" w:color="auto" w:sz="4" w:space="0"/>
              <w:left w:val="single" w:color="auto" w:sz="4" w:space="0"/>
              <w:bottom w:val="single" w:color="auto" w:sz="4" w:space="0"/>
              <w:right w:val="single" w:color="auto" w:sz="4" w:space="0"/>
            </w:tcBorders>
            <w:vAlign w:val="center"/>
          </w:tcPr>
          <w:p w14:paraId="52A5EEF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990FA9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3B85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F0C5B1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B622A95">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1FFE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D6B2770">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3A30D7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14E627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EA2665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C4A0E06">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04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19A75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1621304">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《动物解剖生理》、《动物营养与饲料》、《动物遗传繁育》</w:t>
            </w:r>
          </w:p>
        </w:tc>
      </w:tr>
      <w:tr w14:paraId="1680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F5E8B3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F2AEEA0">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《畜牧场经营与管理》、《现代养殖设备与设施》</w:t>
            </w:r>
          </w:p>
        </w:tc>
      </w:tr>
      <w:tr w14:paraId="0602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45DE3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9EF1D26">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牛羊生产</w:t>
            </w:r>
            <w:r>
              <w:rPr>
                <w:rFonts w:ascii="Arial" w:hAnsi="Arial" w:eastAsia="宋体" w:cs="Arial"/>
              </w:rPr>
              <w:t>》（</w:t>
            </w:r>
            <w:r>
              <w:rPr>
                <w:rFonts w:hint="eastAsia" w:ascii="Arial" w:hAnsi="Arial" w:eastAsia="宋体" w:cs="Arial"/>
                <w:lang w:val="en-US" w:eastAsia="zh-CN"/>
              </w:rPr>
              <w:t>朱永毅、徐君</w:t>
            </w:r>
            <w:r>
              <w:rPr>
                <w:rFonts w:hint="eastAsia" w:ascii="Arial" w:hAnsi="Arial" w:eastAsia="宋体" w:cs="Arial"/>
              </w:rPr>
              <w:t>，</w:t>
            </w:r>
            <w:r>
              <w:rPr>
                <w:rFonts w:hint="eastAsia" w:ascii="Arial" w:hAnsi="Arial" w:eastAsia="宋体" w:cs="Arial"/>
                <w:lang w:val="en-US" w:eastAsia="zh-CN"/>
              </w:rPr>
              <w:t>华中科技大学出版社，2023年，ISBN978-7-5680-9908-0</w:t>
            </w:r>
            <w:r>
              <w:rPr>
                <w:rFonts w:ascii="Arial" w:hAnsi="Arial" w:eastAsia="宋体" w:cs="Arial"/>
              </w:rPr>
              <w:t>)</w:t>
            </w:r>
          </w:p>
        </w:tc>
      </w:tr>
      <w:tr w14:paraId="5821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63092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A96B6A7">
            <w:pPr>
              <w:widowControl/>
              <w:jc w:val="left"/>
              <w:rPr>
                <w:rFonts w:hint="eastAsia" w:eastAsiaTheme="minorEastAsia"/>
                <w:lang w:val="en-US" w:eastAsia="zh-CN"/>
              </w:rPr>
            </w:pPr>
            <w:r>
              <w:rPr>
                <w:rFonts w:hint="eastAsia"/>
                <w:lang w:val="en-US" w:eastAsia="zh-CN"/>
              </w:rPr>
              <w:t>杨侃侃</w:t>
            </w:r>
          </w:p>
        </w:tc>
        <w:tc>
          <w:tcPr>
            <w:tcW w:w="975" w:type="dxa"/>
            <w:tcBorders>
              <w:top w:val="single" w:color="auto" w:sz="4" w:space="0"/>
              <w:left w:val="single" w:color="auto" w:sz="4" w:space="0"/>
              <w:bottom w:val="single" w:color="auto" w:sz="4" w:space="0"/>
              <w:right w:val="single" w:color="auto" w:sz="4" w:space="0"/>
            </w:tcBorders>
            <w:vAlign w:val="center"/>
          </w:tcPr>
          <w:p w14:paraId="27909C0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4BB640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7AA5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A95BEF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BB73695">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2F56B5C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1F2A84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58A40ED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A29BA76">
      <w:pPr>
        <w:pStyle w:val="3"/>
        <w:bidi w:val="0"/>
        <w:rPr>
          <w:rFonts w:hint="eastAsia"/>
          <w:lang w:val="en-US" w:eastAsia="zh-CN"/>
        </w:rPr>
      </w:pPr>
      <w:r>
        <w:rPr>
          <w:rFonts w:hint="eastAsia"/>
          <w:lang w:val="en-US" w:eastAsia="zh-CN"/>
        </w:rPr>
        <w:t>二、课程定位</w:t>
      </w:r>
    </w:p>
    <w:p w14:paraId="5202C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《动物解剖生理》、</w:t>
      </w:r>
      <w:r>
        <w:rPr>
          <w:rFonts w:hint="eastAsia" w:ascii="Arial" w:hAnsi="Arial" w:eastAsia="宋体" w:cs="Arial"/>
          <w:color w:val="auto"/>
          <w:sz w:val="24"/>
          <w:szCs w:val="24"/>
          <w:lang w:val="en-US" w:eastAsia="zh-CN"/>
        </w:rPr>
        <w:t>《动物营养与饲料》、《动物遗传繁育》课程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牛羊养殖、牛羊产品销售、社会技术服务、管理等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动物福利意识、敬畏生命意识、勇于创新、 爱岗敬业的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牛羊养殖场筹建、牛羊良种繁育、牛羊卫生保健、牛羊饲养管理</w:t>
      </w:r>
      <w:r>
        <w:rPr>
          <w:rFonts w:hint="eastAsia" w:asciiTheme="minorEastAsia" w:hAnsiTheme="minorEastAsia" w:eastAsiaTheme="minorEastAsia" w:cstheme="minorEastAsia"/>
          <w:sz w:val="24"/>
          <w:szCs w:val="24"/>
          <w:lang w:val="en-US" w:eastAsia="zh-CN"/>
        </w:rPr>
        <w:t>能力，为后续</w:t>
      </w:r>
      <w:r>
        <w:rPr>
          <w:rFonts w:hint="eastAsia" w:ascii="Arial" w:hAnsi="Arial" w:eastAsia="宋体" w:cs="Arial"/>
          <w:color w:val="auto"/>
          <w:sz w:val="24"/>
          <w:szCs w:val="24"/>
          <w:lang w:val="en-US" w:eastAsia="zh-CN"/>
        </w:rPr>
        <w:t>《畜牧场经营与管理》、《现代养殖设备与设施》等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A27B01D">
      <w:pPr>
        <w:pStyle w:val="3"/>
        <w:bidi w:val="0"/>
        <w:rPr>
          <w:rFonts w:hint="eastAsia"/>
          <w:lang w:val="en-US" w:eastAsia="zh-CN"/>
        </w:rPr>
      </w:pPr>
      <w:r>
        <w:rPr>
          <w:rFonts w:hint="eastAsia"/>
          <w:lang w:val="en-US" w:eastAsia="zh-CN"/>
        </w:rPr>
        <w:t>三、课程设计思路</w:t>
      </w:r>
    </w:p>
    <w:p w14:paraId="763F1C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领域及相关教材确定教学内容,从技术和产品出发，了解</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牛羊生产</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经营管理</w:t>
      </w:r>
      <w:r>
        <w:rPr>
          <w:rFonts w:hint="eastAsia" w:asciiTheme="minorEastAsia" w:hAnsiTheme="minorEastAsia" w:eastAsiaTheme="minorEastAsia" w:cstheme="minorEastAsia"/>
          <w:sz w:val="24"/>
          <w:szCs w:val="24"/>
          <w:lang w:val="en-US" w:eastAsia="zh-CN"/>
        </w:rPr>
        <w:t>进行智能</w:t>
      </w:r>
      <w:r>
        <w:rPr>
          <w:rFonts w:hint="eastAsia" w:asciiTheme="minorEastAsia" w:hAnsiTheme="minorEastAsia" w:cstheme="minorEastAsia"/>
          <w:sz w:val="24"/>
          <w:szCs w:val="24"/>
          <w:lang w:val="en-US" w:eastAsia="zh-CN"/>
        </w:rPr>
        <w:t>整合</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432D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动物福利</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敬畏生命</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w:t>
      </w:r>
      <w:r>
        <w:rPr>
          <w:rFonts w:hint="eastAsia" w:asciiTheme="minorEastAsia" w:hAnsiTheme="minorEastAsia" w:cstheme="minorEastAsia"/>
          <w:sz w:val="24"/>
          <w:szCs w:val="24"/>
          <w:lang w:val="en-US" w:eastAsia="zh-CN"/>
        </w:rPr>
        <w:t>畜牧</w:t>
      </w:r>
      <w:r>
        <w:rPr>
          <w:rFonts w:hint="eastAsia" w:asciiTheme="minorEastAsia" w:hAnsiTheme="minorEastAsia" w:eastAsiaTheme="minorEastAsia" w:cstheme="minorEastAsia"/>
          <w:sz w:val="24"/>
          <w:szCs w:val="24"/>
          <w:lang w:val="en-US" w:eastAsia="zh-CN"/>
        </w:rPr>
        <w:t>师的经历，将创新精神和</w:t>
      </w:r>
      <w:r>
        <w:rPr>
          <w:rFonts w:hint="eastAsia" w:asciiTheme="minorEastAsia" w:hAnsiTheme="minorEastAsia" w:cstheme="minorEastAsia"/>
          <w:sz w:val="24"/>
          <w:szCs w:val="24"/>
          <w:lang w:val="en-US" w:eastAsia="zh-CN"/>
        </w:rPr>
        <w:t>劳动</w:t>
      </w:r>
      <w:r>
        <w:rPr>
          <w:rFonts w:hint="eastAsia" w:asciiTheme="minorEastAsia" w:hAnsiTheme="minorEastAsia" w:eastAsiaTheme="minorEastAsia" w:cstheme="minorEastAsia"/>
          <w:sz w:val="24"/>
          <w:szCs w:val="24"/>
          <w:lang w:val="en-US" w:eastAsia="zh-CN"/>
        </w:rPr>
        <w:t>精神传递给学生，促使专业知识与思政教育水乳交融。</w:t>
      </w:r>
    </w:p>
    <w:p w14:paraId="49142A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w:t>
      </w:r>
      <w:r>
        <w:rPr>
          <w:rFonts w:hint="eastAsia" w:asciiTheme="minorEastAsia" w:hAnsiTheme="minorEastAsia" w:eastAsiaTheme="minorEastAsia" w:cstheme="minorEastAsia"/>
          <w:sz w:val="24"/>
          <w:szCs w:val="24"/>
          <w:u w:val="none"/>
          <w:lang w:val="en-US" w:eastAsia="zh-CN"/>
        </w:rPr>
        <w:t>为适应新一轮</w:t>
      </w:r>
      <w:r>
        <w:rPr>
          <w:rFonts w:hint="eastAsia" w:asciiTheme="minorEastAsia" w:hAnsiTheme="minorEastAsia" w:cstheme="minorEastAsia"/>
          <w:sz w:val="24"/>
          <w:szCs w:val="24"/>
          <w:u w:val="none"/>
          <w:lang w:val="en-US" w:eastAsia="zh-CN"/>
        </w:rPr>
        <w:t>牛羊生产行业</w:t>
      </w:r>
      <w:r>
        <w:rPr>
          <w:rFonts w:hint="eastAsia" w:asciiTheme="minorEastAsia" w:hAnsiTheme="minorEastAsia" w:eastAsiaTheme="minorEastAsia" w:cstheme="minorEastAsia"/>
          <w:sz w:val="24"/>
          <w:szCs w:val="24"/>
          <w:u w:val="none"/>
          <w:lang w:val="en-US" w:eastAsia="zh-CN"/>
        </w:rPr>
        <w:t>变革趋势，紧紧围绕国家</w:t>
      </w:r>
      <w:r>
        <w:rPr>
          <w:rFonts w:hint="eastAsia" w:asciiTheme="minorEastAsia" w:hAnsiTheme="minorEastAsia" w:cstheme="minorEastAsia"/>
          <w:sz w:val="24"/>
          <w:szCs w:val="24"/>
          <w:u w:val="none"/>
          <w:lang w:val="en-US" w:eastAsia="zh-CN"/>
        </w:rPr>
        <w:t>畜牧业</w:t>
      </w:r>
      <w:r>
        <w:rPr>
          <w:rFonts w:hint="eastAsia" w:asciiTheme="minorEastAsia" w:hAnsiTheme="minorEastAsia" w:eastAsiaTheme="minorEastAsia" w:cstheme="minorEastAsia"/>
          <w:sz w:val="24"/>
          <w:szCs w:val="24"/>
          <w:u w:val="none"/>
          <w:lang w:val="en-US" w:eastAsia="zh-CN"/>
        </w:rPr>
        <w:t>发展需要，</w:t>
      </w:r>
      <w:r>
        <w:rPr>
          <w:rFonts w:hint="eastAsia" w:asciiTheme="minorEastAsia" w:hAnsiTheme="minorEastAsia" w:eastAsiaTheme="minorEastAsia" w:cstheme="minorEastAsia"/>
          <w:sz w:val="24"/>
          <w:szCs w:val="24"/>
          <w:lang w:val="en-US" w:eastAsia="zh-CN"/>
        </w:rPr>
        <w:t>精准对接产业岗位新需求，融入</w:t>
      </w:r>
      <w:r>
        <w:rPr>
          <w:rFonts w:hint="eastAsia" w:asciiTheme="minorEastAsia" w:hAnsiTheme="minorEastAsia" w:cstheme="minorEastAsia"/>
          <w:sz w:val="24"/>
          <w:szCs w:val="24"/>
          <w:lang w:val="en-US" w:eastAsia="zh-CN"/>
        </w:rPr>
        <w:t>牛羊智能化养殖</w:t>
      </w:r>
      <w:r>
        <w:rPr>
          <w:rFonts w:hint="eastAsia" w:asciiTheme="minorEastAsia" w:hAnsiTheme="minorEastAsia" w:eastAsiaTheme="minorEastAsia" w:cstheme="minorEastAsia"/>
          <w:sz w:val="24"/>
          <w:szCs w:val="24"/>
          <w:lang w:val="en-US" w:eastAsia="zh-CN"/>
        </w:rPr>
        <w:t>新技术、1+X证书、职业技能大赛、学科竞赛以及创新创业大赛等重构教学内容，以培养具有多样化、创新型、具备竞争力的高素质复合型新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农科</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2F061F22">
      <w:pPr>
        <w:pStyle w:val="3"/>
        <w:bidi w:val="0"/>
        <w:rPr>
          <w:rFonts w:hint="eastAsia"/>
          <w:lang w:val="en-US" w:eastAsia="zh-CN"/>
        </w:rPr>
      </w:pPr>
      <w:r>
        <w:rPr>
          <w:rFonts w:hint="eastAsia"/>
          <w:lang w:val="en-US" w:eastAsia="zh-CN"/>
        </w:rPr>
        <w:t>四、课程目标</w:t>
      </w:r>
    </w:p>
    <w:p w14:paraId="1AE5E1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58CDF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kern w:val="2"/>
          <w:sz w:val="24"/>
          <w:szCs w:val="24"/>
          <w:lang w:val="en-US" w:eastAsia="zh-CN" w:bidi="ar-SA"/>
        </w:rPr>
        <w:t>掌握牛羊场场址选择、场区规划设计，牛羊舍建造</w:t>
      </w:r>
      <w:r>
        <w:rPr>
          <w:rFonts w:hint="eastAsia" w:asciiTheme="minorEastAsia" w:hAnsiTheme="minorEastAsia" w:cstheme="minorEastAsia"/>
          <w:kern w:val="2"/>
          <w:sz w:val="24"/>
          <w:szCs w:val="24"/>
          <w:lang w:val="en-US" w:eastAsia="zh-CN" w:bidi="ar-SA"/>
        </w:rPr>
        <w:t>要求等；</w:t>
      </w:r>
    </w:p>
    <w:p w14:paraId="61E7B4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熟悉</w:t>
      </w:r>
      <w:r>
        <w:rPr>
          <w:rFonts w:hint="eastAsia" w:asciiTheme="minorEastAsia" w:hAnsiTheme="minorEastAsia" w:eastAsiaTheme="minorEastAsia" w:cstheme="minorEastAsia"/>
          <w:kern w:val="2"/>
          <w:sz w:val="24"/>
          <w:szCs w:val="24"/>
          <w:lang w:val="en-US" w:eastAsia="zh-CN" w:bidi="ar-SA"/>
        </w:rPr>
        <w:t>国内外常见牛羊的品种，掌握牛羊的外貌评定</w:t>
      </w:r>
      <w:r>
        <w:rPr>
          <w:rFonts w:hint="eastAsia" w:asciiTheme="minorEastAsia" w:hAnsiTheme="minorEastAsia" w:cstheme="minorEastAsia"/>
          <w:kern w:val="2"/>
          <w:sz w:val="24"/>
          <w:szCs w:val="24"/>
          <w:lang w:val="en-US" w:eastAsia="zh-CN" w:bidi="ar-SA"/>
        </w:rPr>
        <w:t>方法；</w:t>
      </w:r>
    </w:p>
    <w:p w14:paraId="0323E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3.</w:t>
      </w:r>
      <w:r>
        <w:rPr>
          <w:rFonts w:hint="eastAsia" w:asciiTheme="minorEastAsia" w:hAnsiTheme="minorEastAsia" w:eastAsiaTheme="minorEastAsia" w:cstheme="minorEastAsia"/>
          <w:kern w:val="2"/>
          <w:sz w:val="24"/>
          <w:szCs w:val="24"/>
          <w:lang w:val="en-US" w:eastAsia="zh-CN" w:bidi="ar-SA"/>
        </w:rPr>
        <w:t>掌握牛羊常用饲料的加工调制和日粮配制技术</w:t>
      </w:r>
      <w:r>
        <w:rPr>
          <w:rFonts w:hint="eastAsia" w:asciiTheme="minorEastAsia" w:hAnsiTheme="minorEastAsia" w:cstheme="minorEastAsia"/>
          <w:kern w:val="2"/>
          <w:sz w:val="24"/>
          <w:szCs w:val="24"/>
          <w:lang w:val="en-US" w:eastAsia="zh-CN" w:bidi="ar-SA"/>
        </w:rPr>
        <w:t>；</w:t>
      </w:r>
    </w:p>
    <w:p w14:paraId="192A5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理解牛羊的选种、选配方法，</w:t>
      </w:r>
      <w:r>
        <w:rPr>
          <w:rFonts w:hint="eastAsia" w:asciiTheme="minorEastAsia" w:hAnsiTheme="minorEastAsia" w:cstheme="minorEastAsia"/>
          <w:kern w:val="2"/>
          <w:sz w:val="24"/>
          <w:szCs w:val="24"/>
          <w:lang w:val="en-US" w:eastAsia="zh-CN" w:bidi="ar-SA"/>
        </w:rPr>
        <w:t>掌握</w:t>
      </w:r>
      <w:r>
        <w:rPr>
          <w:rFonts w:hint="eastAsia" w:asciiTheme="minorEastAsia" w:hAnsiTheme="minorEastAsia" w:eastAsiaTheme="minorEastAsia" w:cstheme="minorEastAsia"/>
          <w:kern w:val="2"/>
          <w:sz w:val="24"/>
          <w:szCs w:val="24"/>
          <w:lang w:val="en-US" w:eastAsia="zh-CN" w:bidi="ar-SA"/>
        </w:rPr>
        <w:t>牛羊的人工授精等繁殖技术</w:t>
      </w:r>
      <w:r>
        <w:rPr>
          <w:rFonts w:hint="eastAsia" w:asciiTheme="minorEastAsia" w:hAnsiTheme="minorEastAsia" w:cstheme="minorEastAsia"/>
          <w:kern w:val="2"/>
          <w:sz w:val="24"/>
          <w:szCs w:val="24"/>
          <w:lang w:val="en-US" w:eastAsia="zh-CN" w:bidi="ar-SA"/>
        </w:rPr>
        <w:t>；</w:t>
      </w:r>
    </w:p>
    <w:p w14:paraId="01B52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w:t>
      </w:r>
      <w:r>
        <w:rPr>
          <w:rFonts w:hint="eastAsia" w:asciiTheme="minorEastAsia" w:hAnsiTheme="minorEastAsia" w:eastAsiaTheme="minorEastAsia" w:cstheme="minorEastAsia"/>
          <w:kern w:val="2"/>
          <w:sz w:val="24"/>
          <w:szCs w:val="24"/>
          <w:lang w:val="en-US" w:eastAsia="zh-CN" w:bidi="ar-SA"/>
        </w:rPr>
        <w:t>了解不同阶段不同生产方向牛羊的生长发育特点，掌握饲养管理技术</w:t>
      </w:r>
      <w:r>
        <w:rPr>
          <w:rFonts w:hint="eastAsia" w:asciiTheme="minorEastAsia" w:hAnsiTheme="minorEastAsia" w:cstheme="minorEastAsia"/>
          <w:kern w:val="2"/>
          <w:sz w:val="24"/>
          <w:szCs w:val="24"/>
          <w:lang w:val="en-US" w:eastAsia="zh-CN" w:bidi="ar-SA"/>
        </w:rPr>
        <w:t>；</w:t>
      </w:r>
    </w:p>
    <w:p w14:paraId="1D0B9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6</w:t>
      </w:r>
      <w:r>
        <w:rPr>
          <w:rFonts w:hint="eastAsia" w:asciiTheme="minorEastAsia" w:hAnsiTheme="minorEastAsia" w:eastAsiaTheme="minorEastAsia" w:cstheme="minorEastAsia"/>
          <w:kern w:val="2"/>
          <w:sz w:val="24"/>
          <w:szCs w:val="24"/>
          <w:lang w:val="en-US" w:eastAsia="zh-CN" w:bidi="ar-SA"/>
        </w:rPr>
        <w:t>.掌握牛羊场环境控制和卫生保健知识。</w:t>
      </w:r>
    </w:p>
    <w:p w14:paraId="1B1274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2D16E6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kern w:val="2"/>
          <w:sz w:val="24"/>
          <w:szCs w:val="24"/>
          <w:lang w:val="en-US" w:eastAsia="zh-CN" w:bidi="ar-SA"/>
        </w:rPr>
        <w:t>能够正确选择牛羊场场址，合理规划布局，绘制牛羊场的平面规划图，设计牛羊舍。</w:t>
      </w:r>
    </w:p>
    <w:p w14:paraId="52A9B1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kern w:val="2"/>
          <w:sz w:val="24"/>
          <w:szCs w:val="24"/>
          <w:lang w:val="en-US" w:eastAsia="zh-CN" w:bidi="ar-SA"/>
        </w:rPr>
        <w:t>能够识别常见的牛羊品种，</w:t>
      </w:r>
      <w:r>
        <w:rPr>
          <w:rFonts w:hint="eastAsia" w:asciiTheme="minorEastAsia" w:hAnsiTheme="minorEastAsia" w:cstheme="minorEastAsia"/>
          <w:kern w:val="2"/>
          <w:sz w:val="24"/>
          <w:szCs w:val="24"/>
          <w:lang w:val="en-US" w:eastAsia="zh-CN" w:bidi="ar-SA"/>
        </w:rPr>
        <w:t>能</w:t>
      </w:r>
      <w:r>
        <w:rPr>
          <w:rFonts w:hint="eastAsia" w:asciiTheme="minorEastAsia" w:hAnsiTheme="minorEastAsia" w:eastAsiaTheme="minorEastAsia" w:cstheme="minorEastAsia"/>
          <w:kern w:val="2"/>
          <w:sz w:val="24"/>
          <w:szCs w:val="24"/>
          <w:lang w:val="en-US" w:eastAsia="zh-CN" w:bidi="ar-SA"/>
        </w:rPr>
        <w:t>正确进行牛羊的外貌评定和选择</w:t>
      </w:r>
      <w:r>
        <w:rPr>
          <w:rFonts w:hint="eastAsia" w:asciiTheme="minorEastAsia" w:hAnsiTheme="minorEastAsia" w:cstheme="minorEastAsia"/>
          <w:kern w:val="2"/>
          <w:sz w:val="24"/>
          <w:szCs w:val="24"/>
          <w:lang w:val="en-US" w:eastAsia="zh-CN" w:bidi="ar-SA"/>
        </w:rPr>
        <w:t>；</w:t>
      </w:r>
    </w:p>
    <w:p w14:paraId="3E4B10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3.</w:t>
      </w:r>
      <w:r>
        <w:rPr>
          <w:rFonts w:hint="eastAsia" w:asciiTheme="minorEastAsia" w:hAnsiTheme="minorEastAsia" w:eastAsiaTheme="minorEastAsia" w:cstheme="minorEastAsia"/>
          <w:kern w:val="2"/>
          <w:sz w:val="24"/>
          <w:szCs w:val="24"/>
          <w:lang w:val="en-US" w:eastAsia="zh-CN" w:bidi="ar-SA"/>
        </w:rPr>
        <w:t>掌握氨化秸秆、青贮饲料的调制技术及品质鉴定技术，能进行牛羊日粮配制</w:t>
      </w:r>
      <w:r>
        <w:rPr>
          <w:rFonts w:hint="eastAsia" w:asciiTheme="minorEastAsia" w:hAnsiTheme="minorEastAsia" w:cstheme="minorEastAsia"/>
          <w:kern w:val="2"/>
          <w:sz w:val="24"/>
          <w:szCs w:val="24"/>
          <w:lang w:val="en-US" w:eastAsia="zh-CN" w:bidi="ar-SA"/>
        </w:rPr>
        <w:t>；</w:t>
      </w:r>
    </w:p>
    <w:p w14:paraId="79675E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4.能进行</w:t>
      </w:r>
      <w:r>
        <w:rPr>
          <w:rFonts w:hint="eastAsia" w:asciiTheme="minorEastAsia" w:hAnsiTheme="minorEastAsia" w:eastAsiaTheme="minorEastAsia" w:cstheme="minorEastAsia"/>
          <w:kern w:val="2"/>
          <w:sz w:val="24"/>
          <w:szCs w:val="24"/>
          <w:lang w:val="en-US" w:eastAsia="zh-CN" w:bidi="ar-SA"/>
        </w:rPr>
        <w:t>牛羊的发情鉴定</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人工授精</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牛羊的接产</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新生</w:t>
      </w:r>
      <w:r>
        <w:rPr>
          <w:rFonts w:hint="eastAsia" w:asciiTheme="minorEastAsia" w:hAnsiTheme="minorEastAsia" w:cstheme="minorEastAsia"/>
          <w:kern w:val="2"/>
          <w:sz w:val="24"/>
          <w:szCs w:val="24"/>
          <w:lang w:val="en-US" w:eastAsia="zh-CN" w:bidi="ar-SA"/>
        </w:rPr>
        <w:t>仔</w:t>
      </w:r>
      <w:r>
        <w:rPr>
          <w:rFonts w:hint="eastAsia" w:asciiTheme="minorEastAsia" w:hAnsiTheme="minorEastAsia" w:eastAsiaTheme="minorEastAsia" w:cstheme="minorEastAsia"/>
          <w:kern w:val="2"/>
          <w:sz w:val="24"/>
          <w:szCs w:val="24"/>
          <w:lang w:val="en-US" w:eastAsia="zh-CN" w:bidi="ar-SA"/>
        </w:rPr>
        <w:t>畜及产后母畜护理</w:t>
      </w:r>
      <w:r>
        <w:rPr>
          <w:rFonts w:hint="eastAsia" w:asciiTheme="minorEastAsia" w:hAnsiTheme="minorEastAsia" w:cstheme="minorEastAsia"/>
          <w:kern w:val="2"/>
          <w:sz w:val="24"/>
          <w:szCs w:val="24"/>
          <w:lang w:val="en-US" w:eastAsia="zh-CN" w:bidi="ar-SA"/>
        </w:rPr>
        <w:t>操作；</w:t>
      </w:r>
    </w:p>
    <w:p w14:paraId="673575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5.能根据</w:t>
      </w:r>
      <w:r>
        <w:rPr>
          <w:rFonts w:hint="eastAsia" w:asciiTheme="minorEastAsia" w:hAnsiTheme="minorEastAsia" w:eastAsiaTheme="minorEastAsia" w:cstheme="minorEastAsia"/>
          <w:kern w:val="2"/>
          <w:sz w:val="24"/>
          <w:szCs w:val="24"/>
          <w:lang w:val="en-US" w:eastAsia="zh-CN" w:bidi="ar-SA"/>
        </w:rPr>
        <w:t>不同生产方向、不同生产阶段的牛羊</w:t>
      </w:r>
      <w:r>
        <w:rPr>
          <w:rFonts w:hint="eastAsia" w:asciiTheme="minorEastAsia" w:hAnsiTheme="minorEastAsia" w:cstheme="minorEastAsia"/>
          <w:kern w:val="2"/>
          <w:sz w:val="24"/>
          <w:szCs w:val="24"/>
          <w:lang w:val="en-US" w:eastAsia="zh-CN" w:bidi="ar-SA"/>
        </w:rPr>
        <w:t>进行科学的</w:t>
      </w:r>
      <w:r>
        <w:rPr>
          <w:rFonts w:hint="eastAsia" w:asciiTheme="minorEastAsia" w:hAnsiTheme="minorEastAsia" w:eastAsiaTheme="minorEastAsia" w:cstheme="minorEastAsia"/>
          <w:kern w:val="2"/>
          <w:sz w:val="24"/>
          <w:szCs w:val="24"/>
          <w:lang w:val="en-US" w:eastAsia="zh-CN" w:bidi="ar-SA"/>
        </w:rPr>
        <w:t>饲养管理</w:t>
      </w:r>
      <w:r>
        <w:rPr>
          <w:rFonts w:hint="eastAsia" w:asciiTheme="minorEastAsia" w:hAnsiTheme="minorEastAsia" w:cstheme="minorEastAsia"/>
          <w:kern w:val="2"/>
          <w:sz w:val="24"/>
          <w:szCs w:val="24"/>
          <w:lang w:val="en-US" w:eastAsia="zh-CN" w:bidi="ar-SA"/>
        </w:rPr>
        <w:t>。</w:t>
      </w:r>
    </w:p>
    <w:p w14:paraId="21D07B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B10A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1.培养学生分析问题、解决问题和自主学习的能力；</w:t>
      </w:r>
    </w:p>
    <w:p w14:paraId="0B761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2.培养学生饲养管理牛羊的能力和牛羊场的经营管理能力；</w:t>
      </w:r>
    </w:p>
    <w:p w14:paraId="372B80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3.培养学生创新、交流与团队合作能力；</w:t>
      </w:r>
    </w:p>
    <w:p w14:paraId="47291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4.培养学生守时、诚信、规范、责任等方面的意识；</w:t>
      </w:r>
    </w:p>
    <w:p w14:paraId="0AB29A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5.培养学生严谨的工作作风和工作态度。</w:t>
      </w:r>
    </w:p>
    <w:p w14:paraId="0013C6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0B783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44DDA6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2.敬畏生命：</w:t>
      </w:r>
      <w:r>
        <w:rPr>
          <w:rFonts w:hint="eastAsia" w:ascii="宋体" w:hAnsi="宋体" w:eastAsia="宋体" w:cs="宋体"/>
          <w:color w:val="000000"/>
          <w:sz w:val="24"/>
          <w:lang w:val="en-US" w:eastAsia="zh-CN"/>
        </w:rPr>
        <w:t>关注动物福利</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激发</w:t>
      </w:r>
      <w:r>
        <w:rPr>
          <w:rFonts w:hint="eastAsia" w:ascii="宋体" w:hAnsi="宋体" w:eastAsia="宋体" w:cs="宋体"/>
          <w:sz w:val="24"/>
          <w:szCs w:val="32"/>
        </w:rPr>
        <w:t>学生爱护动物、保护动物的责任心</w:t>
      </w:r>
      <w:r>
        <w:rPr>
          <w:rFonts w:hint="eastAsia" w:ascii="宋体" w:hAnsi="宋体" w:eastAsia="宋体" w:cs="宋体"/>
          <w:sz w:val="24"/>
          <w:szCs w:val="32"/>
          <w:lang w:val="en-US" w:eastAsia="zh-CN"/>
        </w:rPr>
        <w:t>与</w:t>
      </w:r>
      <w:r>
        <w:rPr>
          <w:rFonts w:hint="eastAsia" w:ascii="宋体" w:hAnsi="宋体" w:eastAsia="宋体" w:cs="宋体"/>
          <w:sz w:val="24"/>
          <w:szCs w:val="32"/>
        </w:rPr>
        <w:t>爱心</w:t>
      </w:r>
      <w:r>
        <w:rPr>
          <w:rFonts w:hint="eastAsia" w:ascii="宋体" w:hAnsi="宋体" w:eastAsia="宋体" w:cs="宋体"/>
          <w:sz w:val="24"/>
          <w:szCs w:val="32"/>
          <w:lang w:eastAsia="zh-CN"/>
        </w:rPr>
        <w:t>；</w:t>
      </w:r>
      <w:r>
        <w:rPr>
          <w:rFonts w:hint="eastAsia" w:asciiTheme="minorEastAsia" w:hAnsiTheme="minorEastAsia" w:eastAsiaTheme="minorEastAsia" w:cstheme="minorEastAsia"/>
          <w:sz w:val="24"/>
          <w:szCs w:val="24"/>
        </w:rPr>
        <w:t>​</w:t>
      </w:r>
    </w:p>
    <w:p w14:paraId="77DD8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生态文明：树立绿色发展理念，在实践操作中注重环境保护，践行生态责任</w:t>
      </w:r>
      <w:r>
        <w:rPr>
          <w:rFonts w:hint="eastAsia" w:asciiTheme="minorEastAsia" w:hAnsiTheme="minorEastAsia" w:cstheme="minorEastAsia"/>
          <w:sz w:val="24"/>
          <w:szCs w:val="24"/>
          <w:lang w:eastAsia="zh-CN"/>
        </w:rPr>
        <w:t>；</w:t>
      </w:r>
    </w:p>
    <w:p w14:paraId="44B22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587FD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家国情怀：结合行业发展历程，激发民族自豪感和爱国热情，培养“强国有我”的使命意识；​​</w:t>
      </w:r>
    </w:p>
    <w:p w14:paraId="201284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r>
        <w:rPr>
          <w:rFonts w:hint="eastAsia" w:asciiTheme="minorEastAsia" w:hAnsiTheme="minorEastAsia" w:cstheme="minorEastAsia"/>
          <w:sz w:val="24"/>
          <w:szCs w:val="24"/>
          <w:lang w:eastAsia="zh-CN"/>
        </w:rPr>
        <w:t>。</w:t>
      </w:r>
    </w:p>
    <w:p w14:paraId="21A07DE8">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447"/>
        <w:gridCol w:w="2440"/>
        <w:gridCol w:w="2340"/>
        <w:gridCol w:w="1400"/>
        <w:gridCol w:w="995"/>
      </w:tblGrid>
      <w:tr w14:paraId="670E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23" w:type="pct"/>
            <w:vAlign w:val="center"/>
          </w:tcPr>
          <w:p w14:paraId="64A161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34" w:type="pct"/>
            <w:vAlign w:val="center"/>
          </w:tcPr>
          <w:p w14:paraId="61A3D3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238" w:type="pct"/>
            <w:vAlign w:val="center"/>
          </w:tcPr>
          <w:p w14:paraId="7A2249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87" w:type="pct"/>
            <w:vAlign w:val="center"/>
          </w:tcPr>
          <w:p w14:paraId="58112E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710" w:type="pct"/>
            <w:vAlign w:val="center"/>
          </w:tcPr>
          <w:p w14:paraId="1953B2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05" w:type="pct"/>
            <w:vAlign w:val="center"/>
          </w:tcPr>
          <w:p w14:paraId="7285E9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572E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9CC08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牛羊场规划与建设</w:t>
            </w:r>
          </w:p>
        </w:tc>
        <w:tc>
          <w:tcPr>
            <w:tcW w:w="734" w:type="pct"/>
            <w:vAlign w:val="center"/>
          </w:tcPr>
          <w:p w14:paraId="1595C4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牛羊场建设</w:t>
            </w:r>
          </w:p>
        </w:tc>
        <w:tc>
          <w:tcPr>
            <w:tcW w:w="1238" w:type="pct"/>
            <w:vAlign w:val="center"/>
          </w:tcPr>
          <w:p w14:paraId="7AB17BD6">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牛羊场场址选择、场区规划设计，牛羊舍建筑类型及特点</w:t>
            </w:r>
          </w:p>
        </w:tc>
        <w:tc>
          <w:tcPr>
            <w:tcW w:w="1187" w:type="pct"/>
            <w:vAlign w:val="center"/>
          </w:tcPr>
          <w:p w14:paraId="6BF76D7F">
            <w:pPr>
              <w:pStyle w:val="45"/>
              <w:keepNext w:val="0"/>
              <w:keepLines w:val="0"/>
              <w:pageBreakBefore w:val="0"/>
              <w:widowControl w:val="0"/>
              <w:kinsoku/>
              <w:wordWrap/>
              <w:overflowPunct/>
              <w:topLinePunct w:val="0"/>
              <w:autoSpaceDE/>
              <w:autoSpaceDN/>
              <w:bidi w:val="0"/>
              <w:spacing w:before="34" w:line="440" w:lineRule="exact"/>
              <w:jc w:val="center"/>
              <w:textAlignment w:val="auto"/>
              <w:rPr>
                <w:rFonts w:hint="default" w:ascii="宋体" w:hAnsi="宋体" w:eastAsia="仿宋" w:cs="宋体"/>
                <w:sz w:val="21"/>
                <w:szCs w:val="21"/>
                <w:lang w:val="en-US" w:eastAsia="zh-CN"/>
              </w:rPr>
            </w:pPr>
            <w:r>
              <w:rPr>
                <w:rFonts w:hint="eastAsia" w:ascii="宋体" w:hAnsi="宋体" w:eastAsia="宋体" w:cs="宋体"/>
                <w:spacing w:val="-4"/>
                <w:sz w:val="21"/>
                <w:szCs w:val="21"/>
                <w:lang w:val="en-US" w:eastAsia="zh-CN"/>
              </w:rPr>
              <w:t>能正确选择牛羊场场址，能够按照牛羊养殖的基本要求及企业实际情况合理规划设计场区、建筑牛羊舍及附属设施</w:t>
            </w:r>
          </w:p>
        </w:tc>
        <w:tc>
          <w:tcPr>
            <w:tcW w:w="710" w:type="pct"/>
            <w:vAlign w:val="center"/>
          </w:tcPr>
          <w:p w14:paraId="41F5B6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p>
          <w:p w14:paraId="4022A0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生态文明团队协作</w:t>
            </w:r>
          </w:p>
          <w:p w14:paraId="63B2B6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多途径解决问题</w:t>
            </w:r>
          </w:p>
        </w:tc>
        <w:tc>
          <w:tcPr>
            <w:tcW w:w="505" w:type="pct"/>
            <w:vAlign w:val="center"/>
          </w:tcPr>
          <w:p w14:paraId="03F012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632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B134F1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6D9AE1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牛羊场环境控制</w:t>
            </w:r>
          </w:p>
        </w:tc>
        <w:tc>
          <w:tcPr>
            <w:tcW w:w="1238" w:type="pct"/>
            <w:vAlign w:val="center"/>
          </w:tcPr>
          <w:p w14:paraId="31A60D28">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牛羊生产的环境条件要求，牛羊场的环境控制措施</w:t>
            </w:r>
          </w:p>
        </w:tc>
        <w:tc>
          <w:tcPr>
            <w:tcW w:w="1187" w:type="pct"/>
            <w:vAlign w:val="center"/>
          </w:tcPr>
          <w:p w14:paraId="4A65D27E">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能合理控制牛羊场的环境条件</w:t>
            </w:r>
          </w:p>
        </w:tc>
        <w:tc>
          <w:tcPr>
            <w:tcW w:w="710" w:type="pct"/>
            <w:vAlign w:val="center"/>
          </w:tcPr>
          <w:p w14:paraId="0497B7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0830FD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绿色环保</w:t>
            </w:r>
          </w:p>
          <w:p w14:paraId="5415AA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tc>
        <w:tc>
          <w:tcPr>
            <w:tcW w:w="505" w:type="pct"/>
            <w:vAlign w:val="center"/>
          </w:tcPr>
          <w:p w14:paraId="0C058C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09B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82DAB8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p>
        </w:tc>
        <w:tc>
          <w:tcPr>
            <w:tcW w:w="734" w:type="pct"/>
            <w:vAlign w:val="center"/>
          </w:tcPr>
          <w:p w14:paraId="1E9718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牛羊场卫生保健</w:t>
            </w:r>
          </w:p>
        </w:tc>
        <w:tc>
          <w:tcPr>
            <w:tcW w:w="1238" w:type="pct"/>
            <w:vAlign w:val="center"/>
          </w:tcPr>
          <w:p w14:paraId="16048DAF">
            <w:pPr>
              <w:pStyle w:val="45"/>
              <w:keepNext w:val="0"/>
              <w:keepLines w:val="0"/>
              <w:pageBreakBefore w:val="0"/>
              <w:widowControl w:val="0"/>
              <w:kinsoku/>
              <w:wordWrap/>
              <w:overflowPunct/>
              <w:topLinePunct w:val="0"/>
              <w:autoSpaceDE/>
              <w:autoSpaceDN/>
              <w:bidi w:val="0"/>
              <w:adjustRightInd/>
              <w:snapToGrid/>
              <w:spacing w:before="33" w:line="440" w:lineRule="exact"/>
              <w:ind w:right="147"/>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牛羊场常用的消毒方法，牛羊场常规的消毒、防疫工作</w:t>
            </w:r>
          </w:p>
        </w:tc>
        <w:tc>
          <w:tcPr>
            <w:tcW w:w="1187" w:type="pct"/>
            <w:vAlign w:val="center"/>
          </w:tcPr>
          <w:p w14:paraId="10DEBF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能做好牛羊场常规的消毒、防疫工作</w:t>
            </w:r>
          </w:p>
        </w:tc>
        <w:tc>
          <w:tcPr>
            <w:tcW w:w="710" w:type="pct"/>
            <w:vAlign w:val="center"/>
          </w:tcPr>
          <w:p w14:paraId="6B6972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生态文明</w:t>
            </w:r>
          </w:p>
          <w:p w14:paraId="436DAE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438103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多岗位技能结合应用能力</w:t>
            </w:r>
          </w:p>
        </w:tc>
        <w:tc>
          <w:tcPr>
            <w:tcW w:w="505" w:type="pct"/>
            <w:vAlign w:val="center"/>
          </w:tcPr>
          <w:p w14:paraId="20C6BA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B85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172EE4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牛羊品种识别与外貌评定</w:t>
            </w:r>
          </w:p>
        </w:tc>
        <w:tc>
          <w:tcPr>
            <w:tcW w:w="734" w:type="pct"/>
            <w:vAlign w:val="center"/>
          </w:tcPr>
          <w:p w14:paraId="6540B9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牛的品种识别</w:t>
            </w:r>
          </w:p>
        </w:tc>
        <w:tc>
          <w:tcPr>
            <w:tcW w:w="1238" w:type="pct"/>
            <w:vAlign w:val="center"/>
          </w:tcPr>
          <w:p w14:paraId="220DDA0E">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不同品种牛的经济类型、产地、外貌特征及生产性能</w:t>
            </w:r>
          </w:p>
        </w:tc>
        <w:tc>
          <w:tcPr>
            <w:tcW w:w="1187" w:type="pct"/>
            <w:vAlign w:val="center"/>
          </w:tcPr>
          <w:p w14:paraId="053AEBBC">
            <w:pPr>
              <w:pStyle w:val="45"/>
              <w:keepNext w:val="0"/>
              <w:keepLines w:val="0"/>
              <w:pageBreakBefore w:val="0"/>
              <w:widowControl w:val="0"/>
              <w:kinsoku/>
              <w:wordWrap/>
              <w:overflowPunct/>
              <w:topLinePunct w:val="0"/>
              <w:autoSpaceDE/>
              <w:autoSpaceDN/>
              <w:bidi w:val="0"/>
              <w:spacing w:before="26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能准确识别不同品种的牛，初步具备根据外貌正确选择牛的能力</w:t>
            </w:r>
          </w:p>
        </w:tc>
        <w:tc>
          <w:tcPr>
            <w:tcW w:w="710" w:type="pct"/>
            <w:vAlign w:val="center"/>
          </w:tcPr>
          <w:p w14:paraId="391210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严谨仔细</w:t>
            </w:r>
          </w:p>
          <w:p w14:paraId="2D15AC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调研交际能力</w:t>
            </w:r>
          </w:p>
        </w:tc>
        <w:tc>
          <w:tcPr>
            <w:tcW w:w="505" w:type="pct"/>
            <w:vAlign w:val="center"/>
          </w:tcPr>
          <w:p w14:paraId="347BB7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97F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8A3D4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3B2431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牛的外貌评定</w:t>
            </w:r>
          </w:p>
        </w:tc>
        <w:tc>
          <w:tcPr>
            <w:tcW w:w="1238" w:type="pct"/>
            <w:vAlign w:val="center"/>
          </w:tcPr>
          <w:p w14:paraId="66F5440E">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牛的外貌鉴别、年龄鉴别，奶牛的线性评分</w:t>
            </w:r>
          </w:p>
        </w:tc>
        <w:tc>
          <w:tcPr>
            <w:tcW w:w="1187" w:type="pct"/>
            <w:vAlign w:val="center"/>
          </w:tcPr>
          <w:p w14:paraId="14F199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能进行牛的体尺测量、外貌评定和年龄鉴别工作，准确对奶牛线性评分</w:t>
            </w:r>
          </w:p>
        </w:tc>
        <w:tc>
          <w:tcPr>
            <w:tcW w:w="710" w:type="pct"/>
            <w:vAlign w:val="center"/>
          </w:tcPr>
          <w:p w14:paraId="339126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职业道德</w:t>
            </w:r>
          </w:p>
          <w:p w14:paraId="2C112C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03CDA2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E98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12D363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52F492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羊的品种识别</w:t>
            </w:r>
          </w:p>
        </w:tc>
        <w:tc>
          <w:tcPr>
            <w:tcW w:w="1238" w:type="pct"/>
            <w:vAlign w:val="center"/>
          </w:tcPr>
          <w:p w14:paraId="6A5211B7">
            <w:pPr>
              <w:pStyle w:val="45"/>
              <w:keepNext w:val="0"/>
              <w:keepLines w:val="0"/>
              <w:pageBreakBefore w:val="0"/>
              <w:widowControl w:val="0"/>
              <w:kinsoku/>
              <w:wordWrap/>
              <w:overflowPunct/>
              <w:topLinePunct w:val="0"/>
              <w:autoSpaceDE/>
              <w:autoSpaceDN/>
              <w:bidi w:val="0"/>
              <w:spacing w:before="36" w:line="440" w:lineRule="exact"/>
              <w:ind w:right="218"/>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不同品种羊的经济类型、产地、外貌特征及生产性能</w:t>
            </w:r>
          </w:p>
        </w:tc>
        <w:tc>
          <w:tcPr>
            <w:tcW w:w="1187" w:type="pct"/>
            <w:vAlign w:val="center"/>
          </w:tcPr>
          <w:p w14:paraId="3B5BAE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能准确识别不同品种的羊，初步具备根据外貌正确选择羊的能力</w:t>
            </w:r>
          </w:p>
        </w:tc>
        <w:tc>
          <w:tcPr>
            <w:tcW w:w="710" w:type="pct"/>
            <w:vAlign w:val="center"/>
          </w:tcPr>
          <w:p w14:paraId="523327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严谨仔细调研交际能力</w:t>
            </w:r>
          </w:p>
        </w:tc>
        <w:tc>
          <w:tcPr>
            <w:tcW w:w="505" w:type="pct"/>
            <w:vAlign w:val="center"/>
          </w:tcPr>
          <w:p w14:paraId="780895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297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7BCC4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0C997A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羊的外貌评定</w:t>
            </w:r>
          </w:p>
        </w:tc>
        <w:tc>
          <w:tcPr>
            <w:tcW w:w="1238" w:type="pct"/>
            <w:vAlign w:val="center"/>
          </w:tcPr>
          <w:p w14:paraId="518BFC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不同类型羊的外貌特征，羊的体尺测量</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外貌评定和年龄鉴别</w:t>
            </w:r>
            <w:r>
              <w:rPr>
                <w:rFonts w:hint="eastAsia" w:ascii="宋体" w:hAnsi="宋体" w:eastAsia="宋体" w:cs="宋体"/>
                <w:sz w:val="21"/>
                <w:szCs w:val="21"/>
                <w:lang w:val="en-US" w:eastAsia="zh-CN"/>
              </w:rPr>
              <w:t>等</w:t>
            </w:r>
          </w:p>
        </w:tc>
        <w:tc>
          <w:tcPr>
            <w:tcW w:w="1187" w:type="pct"/>
            <w:vAlign w:val="center"/>
          </w:tcPr>
          <w:p w14:paraId="598723AC">
            <w:pPr>
              <w:pStyle w:val="45"/>
              <w:keepNext w:val="0"/>
              <w:keepLines w:val="0"/>
              <w:pageBreakBefore w:val="0"/>
              <w:widowControl w:val="0"/>
              <w:kinsoku/>
              <w:wordWrap/>
              <w:overflowPunct/>
              <w:topLinePunct w:val="0"/>
              <w:autoSpaceDE/>
              <w:autoSpaceDN/>
              <w:bidi w:val="0"/>
              <w:spacing w:before="3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能进行羊的体尺测量等外貌评定和年龄鉴别工作</w:t>
            </w:r>
          </w:p>
        </w:tc>
        <w:tc>
          <w:tcPr>
            <w:tcW w:w="710" w:type="pct"/>
            <w:vAlign w:val="center"/>
          </w:tcPr>
          <w:p w14:paraId="158FC0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职业道德</w:t>
            </w:r>
          </w:p>
          <w:p w14:paraId="26E6CB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6C9A17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97F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084214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牛羊的营养与饲料配制</w:t>
            </w:r>
          </w:p>
        </w:tc>
        <w:tc>
          <w:tcPr>
            <w:tcW w:w="734" w:type="pct"/>
            <w:vAlign w:val="center"/>
          </w:tcPr>
          <w:p w14:paraId="62A2D8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牛羊常用饲料的识别与加工</w:t>
            </w:r>
          </w:p>
        </w:tc>
        <w:tc>
          <w:tcPr>
            <w:tcW w:w="1238" w:type="pct"/>
            <w:vAlign w:val="center"/>
          </w:tcPr>
          <w:p w14:paraId="2A7E6F61">
            <w:pPr>
              <w:pStyle w:val="45"/>
              <w:keepNext w:val="0"/>
              <w:keepLines w:val="0"/>
              <w:pageBreakBefore w:val="0"/>
              <w:widowControl w:val="0"/>
              <w:kinsoku/>
              <w:wordWrap/>
              <w:overflowPunct/>
              <w:topLinePunct w:val="0"/>
              <w:autoSpaceDE/>
              <w:autoSpaceDN/>
              <w:bidi w:val="0"/>
              <w:spacing w:before="38"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牛羊的生活习性、消化特点，牛羊常用饲料种类及饲料的加工方法</w:t>
            </w:r>
          </w:p>
        </w:tc>
        <w:tc>
          <w:tcPr>
            <w:tcW w:w="1187" w:type="pct"/>
            <w:vAlign w:val="center"/>
          </w:tcPr>
          <w:p w14:paraId="0CF02143">
            <w:pPr>
              <w:pStyle w:val="45"/>
              <w:keepNext w:val="0"/>
              <w:keepLines w:val="0"/>
              <w:pageBreakBefore w:val="0"/>
              <w:widowControl w:val="0"/>
              <w:kinsoku/>
              <w:wordWrap/>
              <w:overflowPunct/>
              <w:topLinePunct w:val="0"/>
              <w:autoSpaceDE/>
              <w:autoSpaceDN/>
              <w:bidi w:val="0"/>
              <w:spacing w:before="179"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正确识别牛羊常用饲料原料，掌握不同饲料的加工方法，会制作青贮饲料，并能进行品质鉴定</w:t>
            </w:r>
          </w:p>
        </w:tc>
        <w:tc>
          <w:tcPr>
            <w:tcW w:w="710" w:type="pct"/>
            <w:vAlign w:val="center"/>
          </w:tcPr>
          <w:p w14:paraId="7F2224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质量意识</w:t>
            </w:r>
          </w:p>
          <w:p w14:paraId="391BA2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安全意识</w:t>
            </w:r>
          </w:p>
        </w:tc>
        <w:tc>
          <w:tcPr>
            <w:tcW w:w="505" w:type="pct"/>
            <w:vAlign w:val="center"/>
          </w:tcPr>
          <w:p w14:paraId="2D530D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8C7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4A51C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B5D58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牛羊的日粮配制</w:t>
            </w:r>
          </w:p>
        </w:tc>
        <w:tc>
          <w:tcPr>
            <w:tcW w:w="1238" w:type="pct"/>
            <w:vAlign w:val="center"/>
          </w:tcPr>
          <w:p w14:paraId="2613F2E6">
            <w:pPr>
              <w:pStyle w:val="45"/>
              <w:keepNext w:val="0"/>
              <w:keepLines w:val="0"/>
              <w:pageBreakBefore w:val="0"/>
              <w:widowControl w:val="0"/>
              <w:kinsoku/>
              <w:wordWrap/>
              <w:overflowPunct/>
              <w:topLinePunct w:val="0"/>
              <w:autoSpaceDE/>
              <w:autoSpaceDN/>
              <w:bidi w:val="0"/>
              <w:spacing w:before="4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牛羊日粮配合的一般原则，TMR日粮含义及应用，牛羊日粮配方设计方法</w:t>
            </w:r>
          </w:p>
        </w:tc>
        <w:tc>
          <w:tcPr>
            <w:tcW w:w="1187" w:type="pct"/>
            <w:vAlign w:val="center"/>
          </w:tcPr>
          <w:p w14:paraId="24D2582C">
            <w:pPr>
              <w:pStyle w:val="45"/>
              <w:keepNext w:val="0"/>
              <w:keepLines w:val="0"/>
              <w:pageBreakBefore w:val="0"/>
              <w:widowControl w:val="0"/>
              <w:kinsoku/>
              <w:wordWrap/>
              <w:overflowPunct/>
              <w:topLinePunct w:val="0"/>
              <w:autoSpaceDE/>
              <w:autoSpaceDN/>
              <w:bidi w:val="0"/>
              <w:spacing w:before="273"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熟悉混合饲料的选择与使用技术，学会日粮配方设计方法</w:t>
            </w:r>
          </w:p>
        </w:tc>
        <w:tc>
          <w:tcPr>
            <w:tcW w:w="710" w:type="pct"/>
            <w:vAlign w:val="center"/>
          </w:tcPr>
          <w:p w14:paraId="5A89F1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爱岗敬业</w:t>
            </w:r>
          </w:p>
          <w:p w14:paraId="204690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科学严谨</w:t>
            </w:r>
          </w:p>
        </w:tc>
        <w:tc>
          <w:tcPr>
            <w:tcW w:w="505" w:type="pct"/>
            <w:vAlign w:val="center"/>
          </w:tcPr>
          <w:p w14:paraId="1125D6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F0A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17320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牛羊的良种繁育技术</w:t>
            </w:r>
          </w:p>
        </w:tc>
        <w:tc>
          <w:tcPr>
            <w:tcW w:w="734" w:type="pct"/>
            <w:vAlign w:val="center"/>
          </w:tcPr>
          <w:p w14:paraId="7B98FC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牛的发情鉴定与配种</w:t>
            </w:r>
          </w:p>
        </w:tc>
        <w:tc>
          <w:tcPr>
            <w:tcW w:w="1238" w:type="pct"/>
            <w:vAlign w:val="center"/>
          </w:tcPr>
          <w:p w14:paraId="63AF09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牛的发情规律、发情特点，牛的初配年龄及配种方法</w:t>
            </w:r>
          </w:p>
        </w:tc>
        <w:tc>
          <w:tcPr>
            <w:tcW w:w="1187" w:type="pct"/>
            <w:vAlign w:val="center"/>
          </w:tcPr>
          <w:p w14:paraId="70689D8B">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能正确进行牛的发情鉴定、配种</w:t>
            </w:r>
          </w:p>
        </w:tc>
        <w:tc>
          <w:tcPr>
            <w:tcW w:w="710" w:type="pct"/>
            <w:vAlign w:val="center"/>
          </w:tcPr>
          <w:p w14:paraId="4478C6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7DE4F2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3B41FB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B8E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0E0016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5E1BDB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牛的妊娠诊断与分娩接产</w:t>
            </w:r>
          </w:p>
        </w:tc>
        <w:tc>
          <w:tcPr>
            <w:tcW w:w="1238" w:type="pct"/>
            <w:vAlign w:val="center"/>
          </w:tcPr>
          <w:p w14:paraId="5F3B0F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牛的妊娠分娩征兆，</w:t>
            </w:r>
          </w:p>
          <w:p w14:paraId="58D901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牛妊娠检查及接产的方法</w:t>
            </w:r>
          </w:p>
        </w:tc>
        <w:tc>
          <w:tcPr>
            <w:tcW w:w="1187" w:type="pct"/>
            <w:vAlign w:val="center"/>
          </w:tcPr>
          <w:p w14:paraId="640EE71E">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能正确进行牛的妊娠诊断，做好母牛的接产与产后护理工作</w:t>
            </w:r>
          </w:p>
        </w:tc>
        <w:tc>
          <w:tcPr>
            <w:tcW w:w="710" w:type="pct"/>
            <w:vAlign w:val="center"/>
          </w:tcPr>
          <w:p w14:paraId="2CA9BE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1DF05E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025848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p w14:paraId="77F51F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精益求精</w:t>
            </w:r>
          </w:p>
        </w:tc>
        <w:tc>
          <w:tcPr>
            <w:tcW w:w="505" w:type="pct"/>
            <w:vAlign w:val="center"/>
          </w:tcPr>
          <w:p w14:paraId="4EEC80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3797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2550B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F7413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羊的发情鉴定与配种</w:t>
            </w:r>
          </w:p>
        </w:tc>
        <w:tc>
          <w:tcPr>
            <w:tcW w:w="1238" w:type="pct"/>
            <w:vAlign w:val="center"/>
          </w:tcPr>
          <w:p w14:paraId="5AACC5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羊的发情规律及发情特点，羊的发情鉴定、配种操作</w:t>
            </w:r>
          </w:p>
        </w:tc>
        <w:tc>
          <w:tcPr>
            <w:tcW w:w="1187" w:type="pct"/>
            <w:vAlign w:val="center"/>
          </w:tcPr>
          <w:p w14:paraId="05AAEFF1">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能正确进行羊的发情鉴定、配种操作</w:t>
            </w:r>
          </w:p>
        </w:tc>
        <w:tc>
          <w:tcPr>
            <w:tcW w:w="710" w:type="pct"/>
            <w:vAlign w:val="center"/>
          </w:tcPr>
          <w:p w14:paraId="19ABEB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3F5FBE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64119A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904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8F379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030B4F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羊的妊娠诊断与分娩接产</w:t>
            </w:r>
          </w:p>
        </w:tc>
        <w:tc>
          <w:tcPr>
            <w:tcW w:w="1238" w:type="pct"/>
            <w:vAlign w:val="center"/>
          </w:tcPr>
          <w:p w14:paraId="747673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羊的妊娠分娩征兆，羊的妊娠检查方法，母羊的接产与产后护理</w:t>
            </w:r>
          </w:p>
        </w:tc>
        <w:tc>
          <w:tcPr>
            <w:tcW w:w="1187" w:type="pct"/>
            <w:vAlign w:val="center"/>
          </w:tcPr>
          <w:p w14:paraId="13453A44">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能正确进行羊的妊娠诊断，做好羊的接产与产后护理工作</w:t>
            </w:r>
          </w:p>
        </w:tc>
        <w:tc>
          <w:tcPr>
            <w:tcW w:w="710" w:type="pct"/>
            <w:vAlign w:val="center"/>
          </w:tcPr>
          <w:p w14:paraId="1218DF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59D643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7FC4B8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p w14:paraId="24C7BC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精益求精</w:t>
            </w:r>
          </w:p>
        </w:tc>
        <w:tc>
          <w:tcPr>
            <w:tcW w:w="505" w:type="pct"/>
            <w:vAlign w:val="center"/>
          </w:tcPr>
          <w:p w14:paraId="252FFE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78F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6BB253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牛的饲养管理</w:t>
            </w:r>
          </w:p>
        </w:tc>
        <w:tc>
          <w:tcPr>
            <w:tcW w:w="734" w:type="pct"/>
            <w:vAlign w:val="center"/>
          </w:tcPr>
          <w:p w14:paraId="13C73E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犊牛的饲养管理</w:t>
            </w:r>
          </w:p>
        </w:tc>
        <w:tc>
          <w:tcPr>
            <w:tcW w:w="1238" w:type="pct"/>
            <w:vAlign w:val="center"/>
          </w:tcPr>
          <w:p w14:paraId="2529F4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犊牛的生理特点和营养需求，犊牛的饲养原则、饲喂方法和断奶时间</w:t>
            </w:r>
          </w:p>
        </w:tc>
        <w:tc>
          <w:tcPr>
            <w:tcW w:w="1187" w:type="pct"/>
            <w:vAlign w:val="center"/>
          </w:tcPr>
          <w:p w14:paraId="5C37E52D">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能够根据犊牛的特点制定犊牛饲喂和断奶方案</w:t>
            </w:r>
          </w:p>
        </w:tc>
        <w:tc>
          <w:tcPr>
            <w:tcW w:w="710" w:type="pct"/>
            <w:vAlign w:val="center"/>
          </w:tcPr>
          <w:p w14:paraId="7FD7C0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0F94FB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0AE879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6B714C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57C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9D8B4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20F033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育成牛的饲养管理</w:t>
            </w:r>
          </w:p>
        </w:tc>
        <w:tc>
          <w:tcPr>
            <w:tcW w:w="1238" w:type="pct"/>
            <w:vAlign w:val="center"/>
          </w:tcPr>
          <w:p w14:paraId="41A97C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育成牛的生长发育规律及饲养管理要点</w:t>
            </w:r>
          </w:p>
        </w:tc>
        <w:tc>
          <w:tcPr>
            <w:tcW w:w="1187" w:type="pct"/>
            <w:vAlign w:val="center"/>
          </w:tcPr>
          <w:p w14:paraId="3BD2FE29">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能根据育成牛的生长特点制定饲喂方案</w:t>
            </w:r>
          </w:p>
        </w:tc>
        <w:tc>
          <w:tcPr>
            <w:tcW w:w="710" w:type="pct"/>
            <w:vAlign w:val="center"/>
          </w:tcPr>
          <w:p w14:paraId="081633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6485E8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71F64A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285CA8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29A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7C8E48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3547C4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成年奶牛的饲养管理</w:t>
            </w:r>
          </w:p>
        </w:tc>
        <w:tc>
          <w:tcPr>
            <w:tcW w:w="1238" w:type="pct"/>
            <w:vAlign w:val="center"/>
          </w:tcPr>
          <w:p w14:paraId="2673AA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成年奶牛各阶段的生理特点，各阶段饲养管理的技术，产奶性能评定方法</w:t>
            </w:r>
          </w:p>
        </w:tc>
        <w:tc>
          <w:tcPr>
            <w:tcW w:w="1187" w:type="pct"/>
            <w:vAlign w:val="center"/>
          </w:tcPr>
          <w:p w14:paraId="011F966D">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掌握成年奶牛的饲养管理技能，能按操作规程正确进行挤奶、干奶</w:t>
            </w:r>
          </w:p>
        </w:tc>
        <w:tc>
          <w:tcPr>
            <w:tcW w:w="710" w:type="pct"/>
            <w:vAlign w:val="center"/>
          </w:tcPr>
          <w:p w14:paraId="4934A1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1D8337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6926AB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31ECFF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4364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4537B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AA652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肉牛育肥技术</w:t>
            </w:r>
          </w:p>
        </w:tc>
        <w:tc>
          <w:tcPr>
            <w:tcW w:w="1238" w:type="pct"/>
            <w:vAlign w:val="center"/>
          </w:tcPr>
          <w:p w14:paraId="5A212F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育肥牛生长发育规律及饲养管理技术，肉牛产肉性能的评定方法</w:t>
            </w:r>
          </w:p>
        </w:tc>
        <w:tc>
          <w:tcPr>
            <w:tcW w:w="1187" w:type="pct"/>
            <w:vAlign w:val="center"/>
          </w:tcPr>
          <w:p w14:paraId="6AB5396F">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掌握肉牛的不同肥育技术，会进行产肉性能评定</w:t>
            </w:r>
          </w:p>
        </w:tc>
        <w:tc>
          <w:tcPr>
            <w:tcW w:w="710" w:type="pct"/>
            <w:vAlign w:val="center"/>
          </w:tcPr>
          <w:p w14:paraId="701571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6CCFCB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7167A5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1E5696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F69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58A25A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羊的饲养管理</w:t>
            </w:r>
          </w:p>
        </w:tc>
        <w:tc>
          <w:tcPr>
            <w:tcW w:w="734" w:type="pct"/>
            <w:vAlign w:val="center"/>
          </w:tcPr>
          <w:p w14:paraId="6009EF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羔羊的饲养管理</w:t>
            </w:r>
          </w:p>
        </w:tc>
        <w:tc>
          <w:tcPr>
            <w:tcW w:w="1238" w:type="pct"/>
            <w:vAlign w:val="center"/>
          </w:tcPr>
          <w:p w14:paraId="401E2E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羔羊的生理特点，初生羔羊的护理及后期的培育技术</w:t>
            </w:r>
          </w:p>
        </w:tc>
        <w:tc>
          <w:tcPr>
            <w:tcW w:w="1187" w:type="pct"/>
            <w:vAlign w:val="center"/>
          </w:tcPr>
          <w:p w14:paraId="26AFE745">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合理进行初生羔羊的护理及后期的培育</w:t>
            </w:r>
          </w:p>
        </w:tc>
        <w:tc>
          <w:tcPr>
            <w:tcW w:w="710" w:type="pct"/>
            <w:vAlign w:val="center"/>
          </w:tcPr>
          <w:p w14:paraId="1D52ED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780A55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03759A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7FDE7C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417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3D3032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14BAC3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育成羊的饲养管理</w:t>
            </w:r>
          </w:p>
        </w:tc>
        <w:tc>
          <w:tcPr>
            <w:tcW w:w="1238" w:type="pct"/>
            <w:vAlign w:val="center"/>
          </w:tcPr>
          <w:p w14:paraId="768E50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育成羊的生长发育特点及饲养管理技术</w:t>
            </w:r>
          </w:p>
        </w:tc>
        <w:tc>
          <w:tcPr>
            <w:tcW w:w="1187" w:type="pct"/>
            <w:vAlign w:val="center"/>
          </w:tcPr>
          <w:p w14:paraId="37EFDC6A">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合理进行育成羊的饲养管理</w:t>
            </w:r>
          </w:p>
        </w:tc>
        <w:tc>
          <w:tcPr>
            <w:tcW w:w="710" w:type="pct"/>
            <w:vAlign w:val="center"/>
          </w:tcPr>
          <w:p w14:paraId="76D169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45012D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10A9D9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490B80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DEE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52AEE3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4C404D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成年羊的饲养管理</w:t>
            </w:r>
          </w:p>
        </w:tc>
        <w:tc>
          <w:tcPr>
            <w:tcW w:w="1238" w:type="pct"/>
            <w:vAlign w:val="center"/>
          </w:tcPr>
          <w:p w14:paraId="70C167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成年公羊及母羊的生理特性及饲养管理技术</w:t>
            </w:r>
          </w:p>
        </w:tc>
        <w:tc>
          <w:tcPr>
            <w:tcW w:w="1187" w:type="pct"/>
            <w:vAlign w:val="center"/>
          </w:tcPr>
          <w:p w14:paraId="3E28D4BD">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会调教种公羊，具备采精和精液品质检查的能力，能饲养管理不同生理阶段的母羊</w:t>
            </w:r>
          </w:p>
        </w:tc>
        <w:tc>
          <w:tcPr>
            <w:tcW w:w="710" w:type="pct"/>
            <w:vAlign w:val="center"/>
          </w:tcPr>
          <w:p w14:paraId="391E75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0A3E1D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287F8E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504E22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260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244685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p>
        </w:tc>
        <w:tc>
          <w:tcPr>
            <w:tcW w:w="734" w:type="pct"/>
            <w:vAlign w:val="center"/>
          </w:tcPr>
          <w:p w14:paraId="7D5944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肉羊育肥技术</w:t>
            </w:r>
          </w:p>
        </w:tc>
        <w:tc>
          <w:tcPr>
            <w:tcW w:w="1238" w:type="pct"/>
            <w:vAlign w:val="center"/>
          </w:tcPr>
          <w:p w14:paraId="717FBD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肉羊常用育肥技术，肉羊生产性能评定方法</w:t>
            </w:r>
          </w:p>
        </w:tc>
        <w:tc>
          <w:tcPr>
            <w:tcW w:w="1187" w:type="pct"/>
            <w:vAlign w:val="center"/>
          </w:tcPr>
          <w:p w14:paraId="2A33D0D3">
            <w:pPr>
              <w:pStyle w:val="45"/>
              <w:keepNext w:val="0"/>
              <w:keepLines w:val="0"/>
              <w:pageBreakBefore w:val="0"/>
              <w:widowControl w:val="0"/>
              <w:kinsoku/>
              <w:wordWrap/>
              <w:overflowPunct/>
              <w:topLinePunct w:val="0"/>
              <w:autoSpaceDE/>
              <w:autoSpaceDN/>
              <w:bidi w:val="0"/>
              <w:spacing w:before="270" w:line="440" w:lineRule="exact"/>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掌握肉羊育肥技术，在生产中开展育肥工作</w:t>
            </w:r>
          </w:p>
        </w:tc>
        <w:tc>
          <w:tcPr>
            <w:tcW w:w="710" w:type="pct"/>
            <w:vAlign w:val="center"/>
          </w:tcPr>
          <w:p w14:paraId="25782B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敬畏生命</w:t>
            </w:r>
          </w:p>
          <w:p w14:paraId="2723B7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动物福利</w:t>
            </w:r>
          </w:p>
          <w:p w14:paraId="632C76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规范严谨</w:t>
            </w:r>
          </w:p>
        </w:tc>
        <w:tc>
          <w:tcPr>
            <w:tcW w:w="505" w:type="pct"/>
            <w:vAlign w:val="center"/>
          </w:tcPr>
          <w:p w14:paraId="3D5495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2C4B336D">
      <w:pPr>
        <w:pStyle w:val="3"/>
        <w:bidi w:val="0"/>
        <w:rPr>
          <w:rFonts w:hint="eastAsia"/>
          <w:lang w:val="en-US" w:eastAsia="zh-CN"/>
        </w:rPr>
      </w:pPr>
      <w:r>
        <w:rPr>
          <w:rFonts w:hint="eastAsia"/>
          <w:lang w:val="en-US" w:eastAsia="zh-CN"/>
        </w:rPr>
        <w:t>六、课程考核与评价</w:t>
      </w:r>
    </w:p>
    <w:p w14:paraId="5325F0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AAF273D">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461D5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50F5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239E9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330E2B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2A479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52E57B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736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1AA88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C52EE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C9D57E5">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01625FF9">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FC29C89">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出勤制度（30%）、作业（40%）、课堂提问（30%）</w:t>
            </w:r>
          </w:p>
        </w:tc>
      </w:tr>
      <w:tr w14:paraId="4C5B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EDDE2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8F087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3D44ECC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311B19B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592268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BF0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EA5423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0779E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573618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3E56448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242ACBB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14B6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16AED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9BEE8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C5F405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以技能操作和牛羊饲养管理方式进行</w:t>
            </w:r>
          </w:p>
        </w:tc>
        <w:tc>
          <w:tcPr>
            <w:tcW w:w="1311" w:type="dxa"/>
            <w:tcBorders>
              <w:left w:val="single" w:color="auto" w:sz="4" w:space="0"/>
              <w:right w:val="single" w:color="auto" w:sz="4" w:space="0"/>
            </w:tcBorders>
            <w:vAlign w:val="center"/>
          </w:tcPr>
          <w:p w14:paraId="041CB71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190CA4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以学生动手能力和对牛羊不同阶段的饲养管理操作能力进行考核</w:t>
            </w:r>
          </w:p>
        </w:tc>
      </w:tr>
      <w:tr w14:paraId="5077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B2319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1FC930D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6E82E81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44F8C19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对课程进行总体考核，考核学生对基本知识和基本技能的掌握程度</w:t>
            </w:r>
          </w:p>
        </w:tc>
      </w:tr>
    </w:tbl>
    <w:p w14:paraId="7344BF9E">
      <w:pPr>
        <w:pStyle w:val="3"/>
        <w:bidi w:val="0"/>
        <w:rPr>
          <w:rFonts w:hint="eastAsia"/>
          <w:lang w:val="en-US" w:eastAsia="zh-CN"/>
        </w:rPr>
      </w:pPr>
      <w:r>
        <w:rPr>
          <w:rFonts w:hint="eastAsia"/>
          <w:lang w:val="en-US" w:eastAsia="zh-CN"/>
        </w:rPr>
        <w:t>七、课程实施与保障</w:t>
      </w:r>
    </w:p>
    <w:p w14:paraId="1AB080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6BADC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本课程建议采用探究式以及项目教学方法，选用线上教学组织形式，建议采用信息化教学法、小组协作等教学方法，选用小组合作等学习方法,依托校内学习通等课程资源和教学平台实施教学。</w:t>
      </w:r>
    </w:p>
    <w:p w14:paraId="471C696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6A8AB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动物福利”、“敬畏生命”的课程思政价值链，结合中国科学家以及行业畜牧师的经历，将动物福利意识和敬畏生命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5967CD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16AA3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296D8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71159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505B5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568"/>
        <w:gridCol w:w="4051"/>
        <w:gridCol w:w="2464"/>
      </w:tblGrid>
      <w:tr w14:paraId="1C27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top"/>
          </w:tcPr>
          <w:p w14:paraId="63832B6F">
            <w:pPr>
              <w:pStyle w:val="9"/>
              <w:ind w:firstLine="0" w:firstLineChars="0"/>
              <w:rPr>
                <w:rFonts w:ascii="宋体" w:hAnsi="宋体" w:cs="宋体"/>
                <w:iCs/>
                <w:sz w:val="21"/>
                <w:szCs w:val="21"/>
              </w:rPr>
            </w:pPr>
            <w:r>
              <w:rPr>
                <w:rFonts w:hint="eastAsia" w:ascii="宋体" w:hAnsi="宋体" w:cs="宋体"/>
                <w:iCs/>
                <w:sz w:val="21"/>
                <w:szCs w:val="21"/>
              </w:rPr>
              <w:t>序号</w:t>
            </w:r>
          </w:p>
        </w:tc>
        <w:tc>
          <w:tcPr>
            <w:tcW w:w="1303" w:type="pct"/>
            <w:noWrap w:val="0"/>
            <w:vAlign w:val="top"/>
          </w:tcPr>
          <w:p w14:paraId="051AE7EA">
            <w:pPr>
              <w:pStyle w:val="9"/>
              <w:ind w:firstLine="0" w:firstLineChars="0"/>
              <w:rPr>
                <w:rFonts w:ascii="宋体" w:hAnsi="宋体" w:cs="宋体"/>
                <w:iCs/>
                <w:sz w:val="21"/>
                <w:szCs w:val="21"/>
              </w:rPr>
            </w:pPr>
            <w:r>
              <w:rPr>
                <w:rFonts w:hint="eastAsia" w:ascii="宋体" w:hAnsi="宋体" w:cs="宋体"/>
                <w:iCs/>
                <w:sz w:val="21"/>
                <w:szCs w:val="21"/>
              </w:rPr>
              <w:t>名称</w:t>
            </w:r>
          </w:p>
        </w:tc>
        <w:tc>
          <w:tcPr>
            <w:tcW w:w="2055" w:type="pct"/>
            <w:noWrap w:val="0"/>
            <w:vAlign w:val="top"/>
          </w:tcPr>
          <w:p w14:paraId="375187C8">
            <w:pPr>
              <w:pStyle w:val="9"/>
              <w:ind w:firstLine="0" w:firstLineChars="0"/>
              <w:rPr>
                <w:rFonts w:ascii="宋体" w:hAnsi="宋体" w:cs="宋体"/>
                <w:iCs/>
                <w:sz w:val="21"/>
                <w:szCs w:val="21"/>
              </w:rPr>
            </w:pPr>
            <w:r>
              <w:rPr>
                <w:rFonts w:hint="eastAsia" w:ascii="宋体" w:hAnsi="宋体" w:cs="宋体"/>
                <w:iCs/>
                <w:sz w:val="21"/>
                <w:szCs w:val="21"/>
              </w:rPr>
              <w:t>基本配置要求</w:t>
            </w:r>
          </w:p>
        </w:tc>
        <w:tc>
          <w:tcPr>
            <w:tcW w:w="1250" w:type="pct"/>
            <w:noWrap w:val="0"/>
            <w:vAlign w:val="top"/>
          </w:tcPr>
          <w:p w14:paraId="7EC01ECE">
            <w:pPr>
              <w:pStyle w:val="9"/>
              <w:ind w:firstLine="0" w:firstLineChars="0"/>
              <w:rPr>
                <w:rFonts w:ascii="宋体" w:hAnsi="宋体" w:cs="宋体"/>
                <w:iCs/>
                <w:sz w:val="21"/>
                <w:szCs w:val="21"/>
              </w:rPr>
            </w:pPr>
            <w:r>
              <w:rPr>
                <w:rFonts w:hint="eastAsia" w:ascii="宋体" w:hAnsi="宋体" w:cs="宋体"/>
                <w:iCs/>
                <w:sz w:val="21"/>
                <w:szCs w:val="21"/>
              </w:rPr>
              <w:t>功能说明</w:t>
            </w:r>
          </w:p>
        </w:tc>
      </w:tr>
      <w:tr w14:paraId="6684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51CC7565">
            <w:pPr>
              <w:pStyle w:val="9"/>
              <w:ind w:firstLine="0" w:firstLineChars="0"/>
              <w:rPr>
                <w:rFonts w:ascii="宋体" w:hAnsi="宋体" w:cs="宋体"/>
                <w:iCs/>
                <w:sz w:val="21"/>
                <w:szCs w:val="21"/>
              </w:rPr>
            </w:pPr>
            <w:r>
              <w:rPr>
                <w:rFonts w:hint="eastAsia" w:ascii="宋体" w:hAnsi="宋体" w:cs="宋体"/>
                <w:iCs/>
                <w:sz w:val="21"/>
                <w:szCs w:val="21"/>
              </w:rPr>
              <w:t>1</w:t>
            </w:r>
          </w:p>
        </w:tc>
        <w:tc>
          <w:tcPr>
            <w:tcW w:w="1303" w:type="pct"/>
            <w:noWrap w:val="0"/>
            <w:vAlign w:val="center"/>
          </w:tcPr>
          <w:p w14:paraId="6B78FE41">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55" w:type="pct"/>
            <w:noWrap w:val="0"/>
            <w:vAlign w:val="center"/>
          </w:tcPr>
          <w:p w14:paraId="68D0D626">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50" w:type="pct"/>
            <w:noWrap w:val="0"/>
            <w:vAlign w:val="center"/>
          </w:tcPr>
          <w:p w14:paraId="758E6C90">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34BA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52E27EAC">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03" w:type="pct"/>
            <w:noWrap w:val="0"/>
            <w:vAlign w:val="center"/>
          </w:tcPr>
          <w:p w14:paraId="08A4B24C">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动物繁育实训室</w:t>
            </w:r>
          </w:p>
        </w:tc>
        <w:tc>
          <w:tcPr>
            <w:tcW w:w="2055" w:type="pct"/>
            <w:noWrap w:val="0"/>
            <w:vAlign w:val="center"/>
          </w:tcPr>
          <w:p w14:paraId="68B9168E">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生物</w:t>
            </w:r>
            <w:r>
              <w:rPr>
                <w:rFonts w:hint="eastAsia" w:ascii="宋体" w:hAnsi="宋体" w:cs="宋体"/>
                <w:iCs/>
                <w:sz w:val="21"/>
                <w:szCs w:val="21"/>
              </w:rPr>
              <w:t>显微镜、</w:t>
            </w:r>
            <w:r>
              <w:rPr>
                <w:rFonts w:hint="eastAsia" w:ascii="宋体" w:hAnsi="宋体" w:cs="宋体"/>
                <w:iCs/>
                <w:sz w:val="21"/>
                <w:szCs w:val="21"/>
                <w:lang w:val="en-US" w:eastAsia="zh-CN"/>
              </w:rPr>
              <w:t>教学一体机、牛羊假阴道、牛羊输精器、牛羊采精架</w:t>
            </w:r>
          </w:p>
        </w:tc>
        <w:tc>
          <w:tcPr>
            <w:tcW w:w="1250" w:type="pct"/>
            <w:noWrap w:val="0"/>
            <w:vAlign w:val="center"/>
          </w:tcPr>
          <w:p w14:paraId="5C22EA9E">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牛羊的采精、输精操作</w:t>
            </w:r>
          </w:p>
        </w:tc>
      </w:tr>
      <w:tr w14:paraId="09D8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079EAD38">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3</w:t>
            </w:r>
          </w:p>
        </w:tc>
        <w:tc>
          <w:tcPr>
            <w:tcW w:w="1303" w:type="pct"/>
            <w:noWrap w:val="0"/>
            <w:vAlign w:val="center"/>
          </w:tcPr>
          <w:p w14:paraId="02415189">
            <w:pPr>
              <w:pStyle w:val="9"/>
              <w:ind w:firstLine="0" w:firstLineChars="0"/>
              <w:rPr>
                <w:rFonts w:ascii="宋体" w:hAnsi="宋体" w:cs="宋体"/>
                <w:iCs/>
                <w:sz w:val="21"/>
                <w:szCs w:val="21"/>
              </w:rPr>
            </w:pPr>
            <w:r>
              <w:rPr>
                <w:rFonts w:hint="eastAsia" w:ascii="宋体" w:hAnsi="宋体" w:cs="宋体"/>
                <w:iCs/>
                <w:sz w:val="21"/>
                <w:szCs w:val="21"/>
              </w:rPr>
              <w:t>动物营养与饲料</w:t>
            </w:r>
            <w:r>
              <w:rPr>
                <w:rFonts w:hint="eastAsia" w:ascii="宋体" w:hAnsi="宋体" w:cs="宋体"/>
                <w:iCs/>
                <w:sz w:val="21"/>
                <w:szCs w:val="21"/>
                <w:lang w:val="en-US" w:eastAsia="zh-CN"/>
              </w:rPr>
              <w:t>分析</w:t>
            </w:r>
            <w:r>
              <w:rPr>
                <w:rFonts w:hint="eastAsia" w:ascii="宋体" w:hAnsi="宋体" w:cs="宋体"/>
                <w:iCs/>
                <w:sz w:val="21"/>
                <w:szCs w:val="21"/>
              </w:rPr>
              <w:t>实训室</w:t>
            </w:r>
          </w:p>
        </w:tc>
        <w:tc>
          <w:tcPr>
            <w:tcW w:w="2055" w:type="pct"/>
            <w:noWrap w:val="0"/>
            <w:vAlign w:val="center"/>
          </w:tcPr>
          <w:p w14:paraId="2B364B91">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凯氏定氮仪、粗纤维测定仪、脂肪测定仪、分光光度计、马弗炉、恒温干燥箱</w:t>
            </w:r>
          </w:p>
        </w:tc>
        <w:tc>
          <w:tcPr>
            <w:tcW w:w="1250" w:type="pct"/>
            <w:noWrap w:val="0"/>
            <w:vAlign w:val="center"/>
          </w:tcPr>
          <w:p w14:paraId="58E0136A">
            <w:pPr>
              <w:pStyle w:val="9"/>
              <w:ind w:firstLine="0" w:firstLineChars="0"/>
              <w:rPr>
                <w:rFonts w:ascii="宋体" w:hAnsi="宋体" w:cs="宋体"/>
                <w:iCs/>
                <w:sz w:val="21"/>
                <w:szCs w:val="21"/>
              </w:rPr>
            </w:pPr>
            <w:r>
              <w:rPr>
                <w:rFonts w:hint="eastAsia" w:ascii="宋体" w:hAnsi="宋体" w:cs="宋体"/>
                <w:iCs/>
                <w:sz w:val="21"/>
                <w:szCs w:val="21"/>
                <w:lang w:val="en-US" w:eastAsia="zh-CN"/>
              </w:rPr>
              <w:t>牛</w:t>
            </w:r>
            <w:r>
              <w:rPr>
                <w:rFonts w:hint="eastAsia" w:ascii="宋体" w:hAnsi="宋体" w:cs="宋体"/>
                <w:iCs/>
                <w:sz w:val="21"/>
                <w:szCs w:val="21"/>
              </w:rPr>
              <w:t>饲料成分指标检测</w:t>
            </w:r>
          </w:p>
        </w:tc>
      </w:tr>
      <w:tr w14:paraId="43AC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1D1752EE">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4</w:t>
            </w:r>
          </w:p>
        </w:tc>
        <w:tc>
          <w:tcPr>
            <w:tcW w:w="1303" w:type="pct"/>
            <w:noWrap w:val="0"/>
            <w:vAlign w:val="center"/>
          </w:tcPr>
          <w:p w14:paraId="2F3EA016">
            <w:pPr>
              <w:pStyle w:val="9"/>
              <w:ind w:firstLine="0" w:firstLineChars="0"/>
              <w:rPr>
                <w:rFonts w:ascii="宋体" w:hAnsi="宋体" w:cs="宋体"/>
                <w:iCs/>
                <w:sz w:val="21"/>
                <w:szCs w:val="21"/>
              </w:rPr>
            </w:pPr>
            <w:r>
              <w:rPr>
                <w:rFonts w:hint="eastAsia" w:ascii="宋体" w:hAnsi="宋体" w:cs="宋体"/>
                <w:iCs/>
                <w:sz w:val="21"/>
                <w:szCs w:val="21"/>
              </w:rPr>
              <w:t>动物</w:t>
            </w:r>
            <w:r>
              <w:rPr>
                <w:rFonts w:hint="eastAsia" w:ascii="宋体" w:hAnsi="宋体" w:cs="宋体"/>
                <w:iCs/>
                <w:sz w:val="21"/>
                <w:szCs w:val="21"/>
                <w:lang w:val="en-US" w:eastAsia="zh-CN"/>
              </w:rPr>
              <w:t>生产</w:t>
            </w:r>
            <w:r>
              <w:rPr>
                <w:rFonts w:hint="eastAsia" w:ascii="宋体" w:hAnsi="宋体" w:cs="宋体"/>
                <w:iCs/>
                <w:sz w:val="21"/>
                <w:szCs w:val="21"/>
              </w:rPr>
              <w:t>虚拟</w:t>
            </w:r>
            <w:r>
              <w:rPr>
                <w:rFonts w:hint="eastAsia" w:ascii="宋体" w:hAnsi="宋体" w:cs="宋体"/>
                <w:iCs/>
                <w:sz w:val="21"/>
                <w:szCs w:val="21"/>
                <w:lang w:val="en-US" w:eastAsia="zh-CN"/>
              </w:rPr>
              <w:t>仿真</w:t>
            </w:r>
            <w:r>
              <w:rPr>
                <w:rFonts w:hint="eastAsia" w:ascii="宋体" w:hAnsi="宋体" w:cs="宋体"/>
                <w:iCs/>
                <w:sz w:val="21"/>
                <w:szCs w:val="21"/>
              </w:rPr>
              <w:t>实训室</w:t>
            </w:r>
          </w:p>
        </w:tc>
        <w:tc>
          <w:tcPr>
            <w:tcW w:w="2055" w:type="pct"/>
            <w:noWrap w:val="0"/>
            <w:vAlign w:val="center"/>
          </w:tcPr>
          <w:p w14:paraId="5308F1E9">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牛常用饲料加工调制</w:t>
            </w:r>
          </w:p>
        </w:tc>
        <w:tc>
          <w:tcPr>
            <w:tcW w:w="1250" w:type="pct"/>
            <w:noWrap w:val="0"/>
            <w:vAlign w:val="center"/>
          </w:tcPr>
          <w:p w14:paraId="009F3FD6">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rPr>
              <w:t>虚拟仿真软件成像进行</w:t>
            </w:r>
            <w:r>
              <w:rPr>
                <w:rFonts w:hint="eastAsia" w:ascii="宋体" w:hAnsi="宋体" w:cs="宋体"/>
                <w:iCs/>
                <w:sz w:val="21"/>
                <w:szCs w:val="21"/>
                <w:lang w:val="en-US" w:eastAsia="zh-CN"/>
              </w:rPr>
              <w:t>牛羊常用饲料加工调制</w:t>
            </w:r>
          </w:p>
        </w:tc>
      </w:tr>
    </w:tbl>
    <w:p w14:paraId="5D9A41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C6EDE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D0FF6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主要参考书目《养牛学》、《养羊学》、《牛羊生产技术》、《养牛与牛病防治》、《养羊与羊病防治》。</w:t>
      </w:r>
    </w:p>
    <w:p w14:paraId="2D969C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主要参考学术期刊《中国畜禽种业》、《中国畜牧兽医》、《黑龙江畜牧兽医》、《畜牧兽医学报》、《畜牧与兽医》。</w:t>
      </w:r>
    </w:p>
    <w:p w14:paraId="77B3C6E9">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39F4AE7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智慧职教、中国大学慕课、学习通、学习强国、中国养牛养羊技术网、中国牛网、中国羊网。</w:t>
      </w:r>
    </w:p>
    <w:p w14:paraId="3CEE0F7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E3BF937">
      <w:pPr>
        <w:pStyle w:val="2"/>
        <w:bidi w:val="0"/>
        <w:jc w:val="center"/>
        <w:rPr>
          <w:rFonts w:hint="eastAsia"/>
          <w:lang w:val="en-US" w:eastAsia="zh-CN"/>
        </w:rPr>
      </w:pPr>
      <w:bookmarkStart w:id="32" w:name="_Toc31852"/>
      <w:bookmarkStart w:id="33" w:name="_Toc12877"/>
      <w:r>
        <w:rPr>
          <w:rFonts w:hint="eastAsia"/>
          <w:lang w:val="en-US" w:eastAsia="zh-CN"/>
        </w:rPr>
        <w:t>《养禽与禽病防治》课程标准</w:t>
      </w:r>
      <w:bookmarkEnd w:id="32"/>
      <w:bookmarkEnd w:id="33"/>
    </w:p>
    <w:p w14:paraId="2CB3843D">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7CE8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5D1FD76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401E273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养禽与禽病防治</w:t>
            </w:r>
          </w:p>
        </w:tc>
        <w:tc>
          <w:tcPr>
            <w:tcW w:w="534" w:type="pct"/>
            <w:tcBorders>
              <w:top w:val="single" w:color="auto" w:sz="4" w:space="0"/>
              <w:left w:val="single" w:color="auto" w:sz="4" w:space="0"/>
              <w:bottom w:val="single" w:color="auto" w:sz="4" w:space="0"/>
              <w:right w:val="single" w:color="auto" w:sz="4" w:space="0"/>
            </w:tcBorders>
            <w:vAlign w:val="center"/>
          </w:tcPr>
          <w:p w14:paraId="4A85A59E">
            <w:pPr>
              <w:pStyle w:val="16"/>
              <w:spacing w:before="0" w:beforeAutospacing="0" w:after="0" w:afterAutospacing="0"/>
              <w:ind w:right="-117" w:rightChars="0"/>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5CA8BC4">
            <w:pPr>
              <w:pStyle w:val="16"/>
              <w:spacing w:before="0" w:beforeAutospacing="0" w:after="0" w:afterAutospacing="0"/>
              <w:ind w:right="-145" w:rightChars="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xcxm24012</w:t>
            </w:r>
          </w:p>
        </w:tc>
      </w:tr>
      <w:tr w14:paraId="36BC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A8FA4E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vAlign w:val="top"/>
          </w:tcPr>
          <w:p w14:paraId="5C17D7B6">
            <w:pPr>
              <w:jc w:val="center"/>
              <w:rPr>
                <w:rFonts w:hint="default" w:eastAsiaTheme="minorEastAsia"/>
                <w:lang w:val="en-US" w:eastAsia="zh-CN"/>
              </w:rPr>
            </w:pPr>
            <w:r>
              <w:rPr>
                <w:rFonts w:hint="eastAsia"/>
                <w:lang w:val="en-US" w:eastAsia="zh-CN"/>
              </w:rPr>
              <w:t>64学时</w:t>
            </w:r>
          </w:p>
        </w:tc>
        <w:tc>
          <w:tcPr>
            <w:tcW w:w="874" w:type="pct"/>
            <w:tcBorders>
              <w:top w:val="single" w:color="auto" w:sz="4" w:space="0"/>
              <w:left w:val="single" w:color="auto" w:sz="4" w:space="0"/>
              <w:bottom w:val="single" w:color="auto" w:sz="4" w:space="0"/>
              <w:right w:val="single" w:color="auto" w:sz="4" w:space="0"/>
            </w:tcBorders>
            <w:vAlign w:val="top"/>
          </w:tcPr>
          <w:p w14:paraId="61692AC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vAlign w:val="top"/>
          </w:tcPr>
          <w:p w14:paraId="101E9AF0">
            <w:pPr>
              <w:jc w:val="center"/>
              <w:rPr>
                <w:rFonts w:hint="eastAsia"/>
                <w:lang w:val="en-US" w:eastAsia="zh-CN"/>
              </w:rPr>
            </w:pPr>
            <w:r>
              <w:rPr>
                <w:rFonts w:hint="eastAsia"/>
                <w:lang w:val="en-US" w:eastAsia="zh-CN"/>
              </w:rPr>
              <w:t>24学时</w:t>
            </w:r>
          </w:p>
        </w:tc>
        <w:tc>
          <w:tcPr>
            <w:tcW w:w="534" w:type="pct"/>
            <w:tcBorders>
              <w:top w:val="single" w:color="auto" w:sz="4" w:space="0"/>
              <w:left w:val="single" w:color="auto" w:sz="4" w:space="0"/>
              <w:bottom w:val="single" w:color="auto" w:sz="4" w:space="0"/>
              <w:right w:val="single" w:color="auto" w:sz="4" w:space="0"/>
            </w:tcBorders>
            <w:vAlign w:val="center"/>
          </w:tcPr>
          <w:p w14:paraId="54EC202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8E089B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7544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097580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top"/>
          </w:tcPr>
          <w:p w14:paraId="54F4E0C5">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534A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754B013">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vAlign w:val="top"/>
          </w:tcPr>
          <w:p w14:paraId="12F1525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color w:val="auto"/>
                <w:shd w:val="clear" w:color="FFFFFF" w:fill="D9D9D9"/>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0CAA37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5CD2C5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0E272FD">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shd w:val="clear" w:color="FFFFFF" w:fill="D9D9D9"/>
                <w:lang w:eastAsia="zh-CN"/>
              </w:rPr>
              <w:t>□</w:t>
            </w:r>
            <w:r>
              <w:rPr>
                <w:rFonts w:hint="eastAsia" w:ascii="宋体" w:hAnsi="宋体" w:eastAsia="宋体"/>
                <w:bCs/>
                <w:color w:val="auto"/>
                <w:sz w:val="21"/>
                <w:szCs w:val="21"/>
                <w:lang w:val="en-US" w:eastAsia="zh-CN"/>
              </w:rPr>
              <w:t>集中性实践环节</w:t>
            </w:r>
          </w:p>
        </w:tc>
      </w:tr>
      <w:tr w14:paraId="3DE7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8D2490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572C1EF9">
            <w:pPr>
              <w:pStyle w:val="16"/>
              <w:spacing w:before="0" w:beforeAutospacing="0" w:after="0" w:afterAutospacing="0"/>
              <w:ind w:left="-105" w:leftChars="-50" w:right="-105" w:rightChars="-50"/>
              <w:jc w:val="center"/>
              <w:rPr>
                <w:rFonts w:hint="eastAsia" w:ascii="Arial" w:hAnsi="Arial" w:eastAsia="宋体" w:cs="Arial"/>
                <w:color w:val="auto"/>
                <w:lang w:eastAsia="zh-CN"/>
              </w:rPr>
            </w:pPr>
            <w:r>
              <w:rPr>
                <w:rFonts w:hint="eastAsia" w:ascii="Arial" w:hAnsi="Arial" w:eastAsia="宋体" w:cs="Arial"/>
                <w:color w:val="auto"/>
                <w:lang w:eastAsia="zh-CN"/>
              </w:rPr>
              <w:t>动物解剖生理</w:t>
            </w:r>
            <w:r>
              <w:rPr>
                <w:rFonts w:hint="eastAsia" w:ascii="Arial" w:hAnsi="Arial" w:eastAsia="宋体" w:cs="Arial"/>
                <w:color w:val="auto"/>
                <w:lang w:val="en-US" w:eastAsia="zh-CN"/>
              </w:rPr>
              <w:t xml:space="preserve">  动物病理  动物遗传学 动物营养与饲料</w:t>
            </w:r>
          </w:p>
        </w:tc>
      </w:tr>
      <w:tr w14:paraId="6DCD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F68BFE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0753F77E">
            <w:pPr>
              <w:pStyle w:val="16"/>
              <w:spacing w:before="0" w:beforeAutospacing="0" w:after="0" w:afterAutospacing="0"/>
              <w:ind w:left="-105" w:leftChars="-50" w:right="-105" w:rightChars="-50"/>
              <w:jc w:val="center"/>
              <w:rPr>
                <w:rFonts w:hint="eastAsia" w:ascii="Arial" w:hAnsi="Arial" w:eastAsia="宋体" w:cs="Arial"/>
                <w:color w:val="auto"/>
                <w:lang w:eastAsia="zh-CN"/>
              </w:rPr>
            </w:pPr>
            <w:r>
              <w:rPr>
                <w:rFonts w:hint="eastAsia" w:ascii="Arial" w:hAnsi="Arial" w:eastAsia="宋体" w:cs="Arial"/>
                <w:color w:val="auto"/>
              </w:rPr>
              <w:t>畜牧场经营与管理</w:t>
            </w:r>
            <w:r>
              <w:rPr>
                <w:rFonts w:hint="eastAsia" w:ascii="Arial" w:hAnsi="Arial" w:eastAsia="宋体" w:cs="Arial"/>
                <w:color w:val="auto"/>
                <w:lang w:val="en-US" w:eastAsia="zh-CN"/>
              </w:rPr>
              <w:t xml:space="preserve">  动物防疫与检疫</w:t>
            </w:r>
          </w:p>
        </w:tc>
      </w:tr>
      <w:tr w14:paraId="224E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85805F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77C76E1">
            <w:pPr>
              <w:rPr>
                <w:rFonts w:ascii="Arial" w:hAnsi="Arial" w:eastAsia="宋体" w:cs="Arial"/>
                <w:kern w:val="2"/>
                <w:sz w:val="21"/>
                <w:szCs w:val="24"/>
                <w:lang w:val="en-US" w:eastAsia="zh-CN" w:bidi="ar-SA"/>
              </w:rPr>
            </w:pPr>
            <w:r>
              <w:rPr>
                <w:rFonts w:ascii="Arial" w:hAnsi="Arial" w:eastAsia="宋体" w:cs="Arial"/>
                <w:sz w:val="18"/>
                <w:szCs w:val="18"/>
              </w:rPr>
              <w:t>《</w:t>
            </w:r>
            <w:r>
              <w:rPr>
                <w:rFonts w:hint="eastAsia" w:ascii="Arial" w:hAnsi="Arial" w:eastAsia="宋体" w:cs="Arial"/>
                <w:sz w:val="18"/>
                <w:szCs w:val="18"/>
                <w:lang w:val="en-US" w:eastAsia="zh-CN"/>
              </w:rPr>
              <w:t>养禽与禽病防治</w:t>
            </w:r>
            <w:r>
              <w:rPr>
                <w:rFonts w:ascii="Arial" w:hAnsi="Arial" w:eastAsia="宋体" w:cs="Arial"/>
                <w:sz w:val="18"/>
                <w:szCs w:val="18"/>
              </w:rPr>
              <w:t>》（</w:t>
            </w:r>
            <w:r>
              <w:rPr>
                <w:rFonts w:hint="eastAsia" w:ascii="Arial" w:hAnsi="Arial" w:eastAsia="宋体" w:cs="Arial"/>
                <w:sz w:val="18"/>
                <w:szCs w:val="18"/>
                <w:lang w:val="en-US" w:eastAsia="zh-CN"/>
              </w:rPr>
              <w:t>刘振湘、孟可爱</w:t>
            </w:r>
            <w:r>
              <w:rPr>
                <w:rFonts w:hint="eastAsia" w:ascii="Arial" w:hAnsi="Arial" w:eastAsia="宋体" w:cs="Arial"/>
                <w:sz w:val="18"/>
                <w:szCs w:val="18"/>
              </w:rPr>
              <w:t>，</w:t>
            </w:r>
            <w:r>
              <w:rPr>
                <w:rFonts w:hint="eastAsia" w:ascii="Arial" w:hAnsi="Arial" w:eastAsia="宋体" w:cs="Arial"/>
                <w:sz w:val="18"/>
                <w:szCs w:val="18"/>
                <w:lang w:eastAsia="zh-CN"/>
              </w:rPr>
              <w:t>中国农业大学</w:t>
            </w:r>
            <w:r>
              <w:rPr>
                <w:rFonts w:hint="eastAsia" w:ascii="Arial" w:hAnsi="Arial" w:eastAsia="宋体" w:cs="Arial"/>
                <w:sz w:val="18"/>
                <w:szCs w:val="18"/>
                <w:lang w:val="en-US" w:eastAsia="zh-CN"/>
              </w:rPr>
              <w:t>出版社，2023，ISBN 9787565530203</w:t>
            </w:r>
            <w:r>
              <w:rPr>
                <w:rFonts w:ascii="Arial" w:hAnsi="Arial" w:eastAsia="宋体" w:cs="Arial"/>
                <w:sz w:val="18"/>
                <w:szCs w:val="18"/>
              </w:rPr>
              <w:t>)</w:t>
            </w:r>
          </w:p>
        </w:tc>
      </w:tr>
      <w:tr w14:paraId="79E2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A0136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071AE870">
            <w:pPr>
              <w:widowControl/>
              <w:jc w:val="left"/>
              <w:rPr>
                <w:rFonts w:hint="eastAsia" w:eastAsiaTheme="minorEastAsia"/>
                <w:lang w:eastAsia="zh-CN"/>
              </w:rPr>
            </w:pPr>
            <w:r>
              <w:rPr>
                <w:rFonts w:hint="eastAsia"/>
                <w:lang w:val="en-US" w:eastAsia="zh-CN"/>
              </w:rPr>
              <w:t>夏玉静</w:t>
            </w:r>
          </w:p>
        </w:tc>
        <w:tc>
          <w:tcPr>
            <w:tcW w:w="534" w:type="pct"/>
            <w:tcBorders>
              <w:top w:val="single" w:color="auto" w:sz="4" w:space="0"/>
              <w:left w:val="single" w:color="auto" w:sz="4" w:space="0"/>
              <w:bottom w:val="single" w:color="auto" w:sz="4" w:space="0"/>
              <w:right w:val="single" w:color="auto" w:sz="4" w:space="0"/>
            </w:tcBorders>
            <w:vAlign w:val="center"/>
          </w:tcPr>
          <w:p w14:paraId="3A533E8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CB2E0A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5C8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A7496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3D98B104">
            <w:pPr>
              <w:widowControl/>
              <w:jc w:val="left"/>
              <w:rPr>
                <w:rFonts w:hint="eastAsia"/>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10DBEC8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6EEBD1B">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038635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A17C8AE">
      <w:pPr>
        <w:pStyle w:val="3"/>
        <w:bidi w:val="0"/>
        <w:rPr>
          <w:rFonts w:hint="eastAsia"/>
          <w:lang w:val="en-US" w:eastAsia="zh-CN"/>
        </w:rPr>
      </w:pPr>
      <w:r>
        <w:rPr>
          <w:rFonts w:hint="eastAsia"/>
          <w:lang w:val="en-US" w:eastAsia="zh-CN"/>
        </w:rPr>
        <w:t>二、课程定位</w:t>
      </w:r>
    </w:p>
    <w:p w14:paraId="76517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《动物遗传学》、《动物营养与饲料》课程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兽医临床及疾病防控等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科学严谨，爱岗敬业的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根据病因把握疾病发生发展规律的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《畜牧场经营与管理》、《动物防疫与检疫》</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755EF30">
      <w:pPr>
        <w:pStyle w:val="3"/>
        <w:bidi w:val="0"/>
        <w:rPr>
          <w:rFonts w:hint="eastAsia"/>
          <w:lang w:val="en-US" w:eastAsia="zh-CN"/>
        </w:rPr>
      </w:pPr>
      <w:r>
        <w:rPr>
          <w:rFonts w:hint="eastAsia"/>
          <w:lang w:val="en-US" w:eastAsia="zh-CN"/>
        </w:rPr>
        <w:t>三、课程设计思路</w:t>
      </w:r>
    </w:p>
    <w:p w14:paraId="74A66E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标准以就业为导向，通过社会调研，邀请行业专家对畜牧兽医专业所涵盖的岗位进行工作任务和职业能力分析，并以工作任务为引领确定本课程的结构，以职业能力为基础确定本课程的内容，根据学生身心发展的特点和职业教育规律等方面的培养要求</w:t>
      </w:r>
      <w:r>
        <w:rPr>
          <w:rFonts w:hint="eastAsia" w:asciiTheme="minorEastAsia" w:hAnsiTheme="minorEastAsia" w:cstheme="minorEastAsia"/>
          <w:sz w:val="24"/>
          <w:szCs w:val="24"/>
          <w:lang w:val="en-US" w:eastAsia="zh-CN"/>
        </w:rPr>
        <w:t>，锻炼</w:t>
      </w:r>
      <w:r>
        <w:rPr>
          <w:rFonts w:hint="eastAsia" w:asciiTheme="minorEastAsia" w:hAnsiTheme="minorEastAsia" w:eastAsiaTheme="minorEastAsia" w:cstheme="minorEastAsia"/>
          <w:sz w:val="24"/>
          <w:szCs w:val="24"/>
          <w:lang w:val="en-US" w:eastAsia="zh-CN"/>
        </w:rPr>
        <w:t>和提升学生的专业能力、方法能力、社会能力、强化职业素质教育。关于教学形式，理论部分主要通过多媒体、板书、教具等课堂授课，实践部分主要通过</w:t>
      </w:r>
      <w:r>
        <w:rPr>
          <w:rFonts w:hint="eastAsia" w:asciiTheme="minorEastAsia" w:hAnsiTheme="minorEastAsia" w:cstheme="minorEastAsia"/>
          <w:sz w:val="24"/>
          <w:szCs w:val="24"/>
          <w:lang w:val="en-US" w:eastAsia="zh-CN"/>
        </w:rPr>
        <w:t>虚拟仿真软件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受精卵孵化过程管理和观察</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B2FCD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技术创新</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科学严谨</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659B92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战略和区域发展需要，精准对接产业岗位新需求，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w:t>
      </w:r>
      <w:r>
        <w:rPr>
          <w:rFonts w:hint="eastAsia" w:asciiTheme="minorEastAsia" w:hAnsiTheme="minorEastAsia" w:cstheme="minorEastAsia"/>
          <w:sz w:val="24"/>
          <w:szCs w:val="24"/>
          <w:lang w:val="en-US" w:eastAsia="zh-CN"/>
        </w:rPr>
        <w:t>教学</w:t>
      </w:r>
      <w:r>
        <w:rPr>
          <w:rFonts w:hint="eastAsia" w:asciiTheme="minorEastAsia" w:hAnsiTheme="minorEastAsia" w:eastAsiaTheme="minorEastAsia" w:cstheme="minorEastAsia"/>
          <w:sz w:val="24"/>
          <w:szCs w:val="24"/>
          <w:lang w:val="en-US" w:eastAsia="zh-CN"/>
        </w:rPr>
        <w:t>模式。</w:t>
      </w:r>
    </w:p>
    <w:p w14:paraId="477B672B">
      <w:pPr>
        <w:pStyle w:val="3"/>
        <w:bidi w:val="0"/>
        <w:rPr>
          <w:rFonts w:hint="eastAsia"/>
          <w:lang w:val="en-US" w:eastAsia="zh-CN"/>
        </w:rPr>
      </w:pPr>
      <w:r>
        <w:rPr>
          <w:rFonts w:hint="eastAsia"/>
          <w:lang w:val="en-US" w:eastAsia="zh-CN"/>
        </w:rPr>
        <w:t>四、课程目标</w:t>
      </w:r>
    </w:p>
    <w:p w14:paraId="6022964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E37A78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1.</w:t>
      </w:r>
      <w:r>
        <w:rPr>
          <w:rFonts w:hint="eastAsia" w:asciiTheme="minorEastAsia" w:hAnsiTheme="minorEastAsia" w:eastAsiaTheme="minorEastAsia" w:cstheme="minorEastAsia"/>
          <w:sz w:val="24"/>
          <w:szCs w:val="24"/>
          <w:lang w:val="en-US" w:eastAsia="zh-CN"/>
        </w:rPr>
        <w:t>了解鸡鸭鹅常见的品种及生产性能。</w:t>
      </w:r>
    </w:p>
    <w:p w14:paraId="6BDFFD6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2.</w:t>
      </w:r>
      <w:r>
        <w:rPr>
          <w:rFonts w:hint="eastAsia" w:asciiTheme="minorEastAsia" w:hAnsiTheme="minorEastAsia" w:eastAsiaTheme="minorEastAsia" w:cstheme="minorEastAsia"/>
          <w:sz w:val="24"/>
          <w:szCs w:val="24"/>
          <w:lang w:val="en-US" w:eastAsia="zh-CN"/>
        </w:rPr>
        <w:t>熟识鸡鸭鹅各生产阶段的饲养管理要点。</w:t>
      </w:r>
    </w:p>
    <w:p w14:paraId="6B979C1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3.</w:t>
      </w:r>
      <w:r>
        <w:rPr>
          <w:rFonts w:hint="eastAsia" w:asciiTheme="minorEastAsia" w:hAnsiTheme="minorEastAsia" w:eastAsiaTheme="minorEastAsia" w:cstheme="minorEastAsia"/>
          <w:sz w:val="24"/>
          <w:szCs w:val="24"/>
          <w:lang w:val="en-US" w:eastAsia="zh-CN"/>
        </w:rPr>
        <w:t>熟识禽类孵化过程各阶段形态特点及孵化要求。</w:t>
      </w:r>
    </w:p>
    <w:p w14:paraId="7235A13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4.</w:t>
      </w:r>
      <w:r>
        <w:rPr>
          <w:rFonts w:hint="eastAsia" w:asciiTheme="minorEastAsia" w:hAnsiTheme="minorEastAsia" w:eastAsiaTheme="minorEastAsia" w:cstheme="minorEastAsia"/>
          <w:sz w:val="24"/>
          <w:szCs w:val="24"/>
          <w:lang w:val="en-US" w:eastAsia="zh-CN"/>
        </w:rPr>
        <w:t>了解禽类的育种方法及人工授精技术。</w:t>
      </w:r>
    </w:p>
    <w:p w14:paraId="0CFB765A">
      <w:pPr>
        <w:keepNext w:val="0"/>
        <w:keepLines w:val="0"/>
        <w:pageBreakBefore w:val="0"/>
        <w:widowControl w:val="0"/>
        <w:numPr>
          <w:ilvl w:val="0"/>
          <w:numId w:val="3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能力目标</w:t>
      </w:r>
    </w:p>
    <w:p w14:paraId="2D10438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1.能熟练操作孵化机并进行孵化操作管理。</w:t>
      </w:r>
    </w:p>
    <w:p w14:paraId="264FFFD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2.能从事蛋鸡场、肉鸡场、孵化场及其它禽类的生产技术管理工作。</w:t>
      </w:r>
    </w:p>
    <w:p w14:paraId="49AAEAC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3.在有商品预混料的基础上，能设计养禽各阶段的配合饲料。</w:t>
      </w:r>
    </w:p>
    <w:p w14:paraId="0493CFD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4.能正确使用养禽场常用的设备。</w:t>
      </w:r>
    </w:p>
    <w:p w14:paraId="608445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506E5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良好的思想品德、心理素质；</w:t>
      </w:r>
    </w:p>
    <w:p w14:paraId="650D6D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良好的职业道德，包括爱岗敬业、诚实守信、遵守相关的法律法规等；</w:t>
      </w:r>
    </w:p>
    <w:p w14:paraId="43204B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良好的团队协作、协调人际关系的能力;</w:t>
      </w:r>
    </w:p>
    <w:p w14:paraId="5D7E42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对新知识、新技能的学习能力与创新能力。</w:t>
      </w:r>
    </w:p>
    <w:p w14:paraId="7DE2027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C801E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5B3E92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72D34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26EE21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w:t>
      </w:r>
      <w:r>
        <w:rPr>
          <w:rFonts w:hint="eastAsia" w:asciiTheme="minorEastAsia" w:hAnsiTheme="minorEastAsia" w:cstheme="minorEastAsia"/>
          <w:sz w:val="24"/>
          <w:szCs w:val="24"/>
          <w:lang w:eastAsia="zh-CN"/>
        </w:rPr>
        <w:t>敬畏生命</w:t>
      </w:r>
      <w:r>
        <w:rPr>
          <w:rFonts w:hint="eastAsia" w:asciiTheme="minorEastAsia" w:hAnsiTheme="minorEastAsia" w:eastAsiaTheme="minorEastAsia" w:cstheme="minorEastAsia"/>
          <w:sz w:val="24"/>
          <w:szCs w:val="24"/>
        </w:rPr>
        <w:t>、服务社会”的责任担当，理解所学专业在国家发展、行业进步中的作用，树立为行业发展和社会建设贡献力量的信念；​</w:t>
      </w:r>
    </w:p>
    <w:p w14:paraId="65FA77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1B3A46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3A44D0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451516E3">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498"/>
        <w:gridCol w:w="2214"/>
        <w:gridCol w:w="2593"/>
        <w:gridCol w:w="1169"/>
        <w:gridCol w:w="941"/>
      </w:tblGrid>
      <w:tr w14:paraId="3B8C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28" w:type="pct"/>
          </w:tcPr>
          <w:p w14:paraId="3A0F11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60" w:type="pct"/>
          </w:tcPr>
          <w:p w14:paraId="7A8C79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123" w:type="pct"/>
          </w:tcPr>
          <w:p w14:paraId="45CADF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315" w:type="pct"/>
          </w:tcPr>
          <w:p w14:paraId="609018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593" w:type="pct"/>
          </w:tcPr>
          <w:p w14:paraId="6EB994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477" w:type="pct"/>
          </w:tcPr>
          <w:p w14:paraId="082C87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7D16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69DF6E3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养禽场的规划与建设</w:t>
            </w:r>
          </w:p>
        </w:tc>
        <w:tc>
          <w:tcPr>
            <w:tcW w:w="760" w:type="pct"/>
            <w:vAlign w:val="center"/>
          </w:tcPr>
          <w:p w14:paraId="5DAC4E79">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禽场选址与布局要求技术</w:t>
            </w:r>
          </w:p>
          <w:p w14:paraId="3C5BFAD8">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14:textFill>
                  <w14:solidFill>
                    <w14:schemeClr w14:val="tx1"/>
                  </w14:solidFill>
                </w14:textFill>
              </w:rPr>
              <w:t>禽舍主要设备的认识及使用</w:t>
            </w:r>
          </w:p>
        </w:tc>
        <w:tc>
          <w:tcPr>
            <w:tcW w:w="1123" w:type="pct"/>
            <w:vAlign w:val="center"/>
          </w:tcPr>
          <w:p w14:paraId="1588DDD2">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禽场场址选择、场内布局的基本要求</w:t>
            </w:r>
          </w:p>
          <w:p w14:paraId="2377170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14:textFill>
                  <w14:solidFill>
                    <w14:schemeClr w14:val="tx1"/>
                  </w14:solidFill>
                </w14:textFill>
              </w:rPr>
              <w:t>禽舍主要设备的名称、优缺点、使用要求</w:t>
            </w:r>
          </w:p>
        </w:tc>
        <w:tc>
          <w:tcPr>
            <w:tcW w:w="1315" w:type="pct"/>
            <w:vAlign w:val="center"/>
          </w:tcPr>
          <w:p w14:paraId="19FD5294">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根据实际选择理想的场址，设计场内布局</w:t>
            </w:r>
          </w:p>
          <w:p w14:paraId="697E53B1">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14:textFill>
                  <w14:solidFill>
                    <w14:schemeClr w14:val="tx1"/>
                  </w14:solidFill>
                </w14:textFill>
              </w:rPr>
              <w:t>禽舍主要设备的使用操作方法</w:t>
            </w:r>
          </w:p>
        </w:tc>
        <w:tc>
          <w:tcPr>
            <w:tcW w:w="593" w:type="pct"/>
          </w:tcPr>
          <w:p w14:paraId="2E04988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230D6D3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3509EE7F">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61706AB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2BCBB782">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p w14:paraId="79BB1754">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创新意识</w:t>
            </w:r>
          </w:p>
          <w:p w14:paraId="35BD8F2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生态文明</w:t>
            </w:r>
          </w:p>
        </w:tc>
        <w:tc>
          <w:tcPr>
            <w:tcW w:w="477" w:type="pct"/>
          </w:tcPr>
          <w:p w14:paraId="067F0F7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22F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728" w:type="pct"/>
            <w:vAlign w:val="center"/>
          </w:tcPr>
          <w:p w14:paraId="22FB9BCA">
            <w:pPr>
              <w:snapToGrid w:val="0"/>
              <w:spacing w:line="240" w:lineRule="auto"/>
              <w:rPr>
                <w:rFonts w:hint="eastAsia" w:ascii="宋体" w:hAnsi="宋体"/>
                <w:sz w:val="21"/>
                <w:szCs w:val="21"/>
                <w:lang w:val="en-US" w:eastAsia="zh-CN"/>
              </w:rPr>
            </w:pPr>
            <w:r>
              <w:rPr>
                <w:rFonts w:hint="eastAsia" w:ascii="宋体" w:hAnsi="宋体"/>
                <w:sz w:val="21"/>
                <w:szCs w:val="21"/>
              </w:rPr>
              <w:t>家禽品种识别</w:t>
            </w:r>
          </w:p>
        </w:tc>
        <w:tc>
          <w:tcPr>
            <w:tcW w:w="760" w:type="pct"/>
            <w:vAlign w:val="center"/>
          </w:tcPr>
          <w:p w14:paraId="215E4E31">
            <w:pPr>
              <w:snapToGrid w:val="0"/>
              <w:spacing w:line="240" w:lineRule="auto"/>
              <w:rPr>
                <w:rFonts w:hint="eastAsia" w:ascii="宋体" w:hAnsi="宋体"/>
                <w:sz w:val="21"/>
                <w:szCs w:val="21"/>
                <w:lang w:val="en-US" w:eastAsia="zh-CN"/>
              </w:rPr>
            </w:pPr>
            <w:r>
              <w:rPr>
                <w:rFonts w:hint="eastAsia" w:ascii="宋体" w:hAnsi="宋体"/>
                <w:sz w:val="21"/>
                <w:szCs w:val="21"/>
              </w:rPr>
              <w:t>家禽品种的识别技术</w:t>
            </w:r>
          </w:p>
        </w:tc>
        <w:tc>
          <w:tcPr>
            <w:tcW w:w="1123" w:type="pct"/>
            <w:vAlign w:val="center"/>
          </w:tcPr>
          <w:p w14:paraId="554C5F06">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家禽品种的分类方法</w:t>
            </w:r>
          </w:p>
          <w:p w14:paraId="77205F14">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2.</w:t>
            </w:r>
            <w:r>
              <w:rPr>
                <w:rFonts w:hint="eastAsia" w:ascii="宋体" w:hAnsi="宋体"/>
                <w:sz w:val="21"/>
                <w:szCs w:val="21"/>
              </w:rPr>
              <w:t>主要家禽品种的产地、外貌特征和生产性能</w:t>
            </w:r>
          </w:p>
        </w:tc>
        <w:tc>
          <w:tcPr>
            <w:tcW w:w="1315" w:type="pct"/>
            <w:vAlign w:val="center"/>
          </w:tcPr>
          <w:p w14:paraId="5FD50852">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根据外貌特征识别国际、国内著名的家禽品种。</w:t>
            </w:r>
          </w:p>
          <w:p w14:paraId="5D48C6F9">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识别本地饲养较多的品种。</w:t>
            </w:r>
          </w:p>
          <w:p w14:paraId="647C40FB">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选择合适的品种饲养</w:t>
            </w:r>
          </w:p>
        </w:tc>
        <w:tc>
          <w:tcPr>
            <w:tcW w:w="593" w:type="pct"/>
          </w:tcPr>
          <w:p w14:paraId="14C447FE">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5C7EC770">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6E0B1E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4F3259D5">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7114DE6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477" w:type="pct"/>
          </w:tcPr>
          <w:p w14:paraId="391EBB4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292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atLeast"/>
        </w:trPr>
        <w:tc>
          <w:tcPr>
            <w:tcW w:w="728" w:type="pct"/>
          </w:tcPr>
          <w:p w14:paraId="3EA60C9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仿宋_GB2312" w:eastAsia="仿宋_GB2312"/>
                <w:sz w:val="21"/>
                <w:szCs w:val="21"/>
              </w:rPr>
            </w:pPr>
          </w:p>
          <w:p w14:paraId="7E63FF26">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仿宋_GB2312" w:eastAsia="仿宋_GB2312"/>
                <w:sz w:val="21"/>
                <w:szCs w:val="21"/>
              </w:rPr>
            </w:pPr>
          </w:p>
          <w:p w14:paraId="2733AF4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仿宋_GB2312" w:eastAsia="仿宋_GB2312"/>
                <w:sz w:val="21"/>
                <w:szCs w:val="21"/>
              </w:rPr>
            </w:pPr>
          </w:p>
          <w:p w14:paraId="1ED7E861">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仿宋_GB2312" w:eastAsia="仿宋_GB2312"/>
                <w:sz w:val="21"/>
                <w:szCs w:val="21"/>
              </w:rPr>
            </w:pPr>
          </w:p>
          <w:p w14:paraId="3F68E321">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仿宋_GB2312" w:eastAsia="仿宋_GB2312"/>
                <w:sz w:val="21"/>
                <w:szCs w:val="21"/>
              </w:rPr>
            </w:pPr>
          </w:p>
          <w:p w14:paraId="611CA88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1"/>
                <w:szCs w:val="21"/>
                <w:lang w:val="en-US" w:eastAsia="zh-CN"/>
              </w:rPr>
            </w:pPr>
            <w:r>
              <w:rPr>
                <w:rFonts w:hint="eastAsia" w:ascii="宋体" w:hAnsi="宋体"/>
                <w:sz w:val="21"/>
                <w:szCs w:val="21"/>
              </w:rPr>
              <w:t>家禽的繁育技术</w:t>
            </w:r>
          </w:p>
        </w:tc>
        <w:tc>
          <w:tcPr>
            <w:tcW w:w="760" w:type="pct"/>
            <w:vAlign w:val="center"/>
          </w:tcPr>
          <w:p w14:paraId="77455C94">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 xml:space="preserve">家禽生产性能指标计算方法 </w:t>
            </w:r>
          </w:p>
          <w:p w14:paraId="603B9911">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家禽的繁殖技术</w:t>
            </w:r>
          </w:p>
          <w:p w14:paraId="2D782AB3">
            <w:pPr>
              <w:snapToGrid w:val="0"/>
              <w:spacing w:line="240" w:lineRule="auto"/>
              <w:rPr>
                <w:rFonts w:hint="eastAsia" w:ascii="仿宋_GB2312" w:eastAsia="仿宋_GB2312"/>
                <w:sz w:val="21"/>
                <w:szCs w:val="21"/>
                <w:lang w:val="en-US" w:eastAsia="zh-CN"/>
              </w:rPr>
            </w:pPr>
            <w:r>
              <w:rPr>
                <w:rFonts w:hint="eastAsia" w:ascii="宋体" w:hAnsi="宋体"/>
                <w:sz w:val="21"/>
                <w:szCs w:val="21"/>
                <w:lang w:val="en-US" w:eastAsia="zh-CN"/>
              </w:rPr>
              <w:t>3.</w:t>
            </w:r>
            <w:r>
              <w:rPr>
                <w:rFonts w:hint="eastAsia" w:ascii="宋体" w:hAnsi="宋体"/>
                <w:sz w:val="21"/>
                <w:szCs w:val="21"/>
              </w:rPr>
              <w:t>家禽的育种技术</w:t>
            </w:r>
          </w:p>
        </w:tc>
        <w:tc>
          <w:tcPr>
            <w:tcW w:w="1123" w:type="pct"/>
            <w:vAlign w:val="center"/>
          </w:tcPr>
          <w:p w14:paraId="716A8A8A">
            <w:pPr>
              <w:snapToGrid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家禽各种生产性能指标情况</w:t>
            </w:r>
            <w:r>
              <w:rPr>
                <w:rFonts w:hint="eastAsia" w:asciiTheme="minorEastAsia" w:hAnsiTheme="minorEastAsia" w:eastAsiaTheme="minorEastAsia" w:cstheme="minorEastAsia"/>
                <w:sz w:val="21"/>
                <w:szCs w:val="21"/>
                <w:lang w:eastAsia="zh-CN"/>
              </w:rPr>
              <w:t>及其</w:t>
            </w:r>
            <w:r>
              <w:rPr>
                <w:rFonts w:hint="eastAsia" w:asciiTheme="minorEastAsia" w:hAnsiTheme="minorEastAsia" w:eastAsiaTheme="minorEastAsia" w:cstheme="minorEastAsia"/>
                <w:sz w:val="21"/>
                <w:szCs w:val="21"/>
              </w:rPr>
              <w:t>计算方法</w:t>
            </w:r>
          </w:p>
          <w:p w14:paraId="43808F7B">
            <w:pPr>
              <w:snapToGrid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家禽选种方法、配种方法与配偶比例。</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种鸡人工授精的技术及要求</w:t>
            </w:r>
          </w:p>
          <w:p w14:paraId="52A278C8">
            <w:pPr>
              <w:snapToGrid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家禽主要性状的遗传力情况</w:t>
            </w:r>
          </w:p>
          <w:p w14:paraId="73FE7318">
            <w:pPr>
              <w:snapToGrid w:val="0"/>
              <w:spacing w:line="240" w:lineRule="auto"/>
              <w:rPr>
                <w:rFonts w:hint="eastAsia" w:ascii="宋体" w:hAnsi="宋体"/>
                <w:sz w:val="21"/>
                <w:szCs w:val="21"/>
                <w:lang w:val="en-US" w:eastAsia="zh-CN"/>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现代家禽良种繁育体系，掌握育种的方法</w:t>
            </w:r>
          </w:p>
        </w:tc>
        <w:tc>
          <w:tcPr>
            <w:tcW w:w="1315" w:type="pct"/>
            <w:vAlign w:val="center"/>
          </w:tcPr>
          <w:p w14:paraId="0AB43EAA">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根据生产记录表格完成各指标的计算。</w:t>
            </w:r>
          </w:p>
          <w:p w14:paraId="0F2238DF">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能正确进行家禽体尺测量与屠宰测定</w:t>
            </w:r>
          </w:p>
          <w:p w14:paraId="47DC6BB7">
            <w:pPr>
              <w:snapToGrid w:val="0"/>
              <w:spacing w:line="240" w:lineRule="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能选出好的公母种禽。</w:t>
            </w:r>
          </w:p>
          <w:p w14:paraId="714EAC35">
            <w:pPr>
              <w:snapToGrid w:val="0"/>
              <w:spacing w:line="240" w:lineRule="auto"/>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能正确进行公母配比。</w:t>
            </w:r>
          </w:p>
          <w:p w14:paraId="47EF8426">
            <w:pPr>
              <w:snapToGrid w:val="0"/>
              <w:spacing w:line="240" w:lineRule="auto"/>
              <w:rPr>
                <w:rFonts w:hint="eastAsia" w:ascii="宋体" w:hAnsi="宋体"/>
                <w:sz w:val="21"/>
                <w:szCs w:val="21"/>
              </w:rPr>
            </w:pPr>
            <w:r>
              <w:rPr>
                <w:rFonts w:hint="eastAsia" w:ascii="宋体" w:hAnsi="宋体"/>
                <w:sz w:val="21"/>
                <w:szCs w:val="21"/>
                <w:lang w:val="en-US" w:eastAsia="zh-CN"/>
              </w:rPr>
              <w:t>5.</w:t>
            </w:r>
            <w:r>
              <w:rPr>
                <w:rFonts w:hint="eastAsia" w:ascii="宋体" w:hAnsi="宋体"/>
                <w:sz w:val="21"/>
                <w:szCs w:val="21"/>
              </w:rPr>
              <w:t>能熟练进行采精、精液稀释、输精操作</w:t>
            </w:r>
          </w:p>
          <w:p w14:paraId="402CA2B4">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6.</w:t>
            </w:r>
            <w:r>
              <w:rPr>
                <w:rFonts w:hint="eastAsia" w:ascii="宋体" w:hAnsi="宋体"/>
                <w:sz w:val="21"/>
                <w:szCs w:val="21"/>
              </w:rPr>
              <w:t>能利用当前的家禽品种资源进行有效的杂交利用</w:t>
            </w:r>
          </w:p>
        </w:tc>
        <w:tc>
          <w:tcPr>
            <w:tcW w:w="593" w:type="pct"/>
          </w:tcPr>
          <w:p w14:paraId="3B931481">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121C6C8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32E5336">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22111E3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477" w:type="pct"/>
          </w:tcPr>
          <w:p w14:paraId="7C8F61B1">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10C5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trPr>
        <w:tc>
          <w:tcPr>
            <w:tcW w:w="728" w:type="pct"/>
            <w:vAlign w:val="center"/>
          </w:tcPr>
          <w:p w14:paraId="2E56B5DF">
            <w:pPr>
              <w:snapToGrid w:val="0"/>
              <w:spacing w:line="240" w:lineRule="auto"/>
              <w:rPr>
                <w:rFonts w:hint="eastAsia" w:ascii="宋体" w:hAnsi="宋体"/>
                <w:sz w:val="21"/>
                <w:szCs w:val="21"/>
                <w:lang w:val="en-US" w:eastAsia="zh-CN"/>
              </w:rPr>
            </w:pPr>
            <w:r>
              <w:rPr>
                <w:rFonts w:hint="eastAsia" w:ascii="宋体" w:hAnsi="宋体"/>
                <w:sz w:val="21"/>
                <w:szCs w:val="21"/>
              </w:rPr>
              <w:t>家禽的孵化技术</w:t>
            </w:r>
          </w:p>
        </w:tc>
        <w:tc>
          <w:tcPr>
            <w:tcW w:w="760" w:type="pct"/>
            <w:vAlign w:val="center"/>
          </w:tcPr>
          <w:p w14:paraId="6640DA03">
            <w:pPr>
              <w:numPr>
                <w:ilvl w:val="0"/>
                <w:numId w:val="0"/>
              </w:numPr>
              <w:snapToGrid w:val="0"/>
              <w:spacing w:line="240" w:lineRule="auto"/>
              <w:ind w:leftChars="0"/>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种蛋的选择、保存与消毒技术</w:t>
            </w:r>
          </w:p>
          <w:p w14:paraId="19820D9C">
            <w:pPr>
              <w:numPr>
                <w:ilvl w:val="0"/>
                <w:numId w:val="0"/>
              </w:numPr>
              <w:snapToGrid w:val="0"/>
              <w:spacing w:line="240" w:lineRule="auto"/>
              <w:ind w:leftChars="0"/>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孵化条件的调控技术</w:t>
            </w:r>
          </w:p>
          <w:p w14:paraId="571088C4">
            <w:pPr>
              <w:numPr>
                <w:ilvl w:val="0"/>
                <w:numId w:val="0"/>
              </w:numPr>
              <w:snapToGrid w:val="0"/>
              <w:spacing w:line="240" w:lineRule="auto"/>
              <w:ind w:leftChars="0"/>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胚胎发育及孵化效果检查技术</w:t>
            </w:r>
          </w:p>
          <w:p w14:paraId="4D58168F">
            <w:pPr>
              <w:numPr>
                <w:ilvl w:val="0"/>
                <w:numId w:val="0"/>
              </w:numPr>
              <w:snapToGrid w:val="0"/>
              <w:spacing w:line="240" w:lineRule="auto"/>
              <w:ind w:leftChars="0"/>
              <w:rPr>
                <w:rFonts w:hint="eastAsia" w:ascii="宋体" w:hAnsi="宋体"/>
                <w:sz w:val="21"/>
                <w:szCs w:val="21"/>
                <w:lang w:val="en-US" w:eastAsia="zh-CN"/>
              </w:rPr>
            </w:pPr>
            <w:r>
              <w:rPr>
                <w:rFonts w:hint="eastAsia" w:ascii="宋体" w:hAnsi="宋体"/>
                <w:sz w:val="21"/>
                <w:szCs w:val="21"/>
                <w:lang w:val="en-US" w:eastAsia="zh-CN"/>
              </w:rPr>
              <w:t>4.</w:t>
            </w:r>
            <w:r>
              <w:rPr>
                <w:rFonts w:hint="eastAsia" w:ascii="宋体" w:hAnsi="宋体"/>
                <w:sz w:val="21"/>
                <w:szCs w:val="21"/>
              </w:rPr>
              <w:t>孵化方法</w:t>
            </w:r>
          </w:p>
        </w:tc>
        <w:tc>
          <w:tcPr>
            <w:tcW w:w="1123" w:type="pct"/>
            <w:vAlign w:val="center"/>
          </w:tcPr>
          <w:p w14:paraId="5DCFE3E1">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种蛋的选择、保存与消毒方法</w:t>
            </w:r>
          </w:p>
          <w:p w14:paraId="3A729E64">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孵化条件及其要求，会根据孵化实际调控孵化条件。</w:t>
            </w:r>
          </w:p>
          <w:p w14:paraId="0EDA28B1">
            <w:pPr>
              <w:snapToGrid w:val="0"/>
              <w:spacing w:line="240" w:lineRule="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各胚龄发育情况，掌握孵化效果检查方法</w:t>
            </w:r>
          </w:p>
          <w:p w14:paraId="5B141A7C">
            <w:pPr>
              <w:snapToGrid w:val="0"/>
              <w:spacing w:line="240" w:lineRule="auto"/>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孵化机的构造、使用方法。</w:t>
            </w:r>
          </w:p>
          <w:p w14:paraId="3D42F33F">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5.</w:t>
            </w:r>
            <w:r>
              <w:rPr>
                <w:rFonts w:hint="eastAsia" w:ascii="宋体" w:hAnsi="宋体"/>
                <w:sz w:val="21"/>
                <w:szCs w:val="21"/>
              </w:rPr>
              <w:t>孵化的操作过程和技术</w:t>
            </w:r>
          </w:p>
        </w:tc>
        <w:tc>
          <w:tcPr>
            <w:tcW w:w="1315" w:type="pct"/>
            <w:vAlign w:val="center"/>
          </w:tcPr>
          <w:p w14:paraId="7B2259B5">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会选择种蛋，会保存种蛋，会用适当的方法消毒种蛋</w:t>
            </w:r>
          </w:p>
          <w:p w14:paraId="1862959D">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会根据孵化实际调控孵化条件；会正确判断发育正常蛋、无精蛋、死胚蛋；会根据照蛋情况判断孵化条件是否合适从而正确调节孵化条件</w:t>
            </w:r>
          </w:p>
          <w:p w14:paraId="3407AFE7">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能熟练进行种蛋码盘、照蛋、移盘、捡雏、机器清洁与消毒、雏鸡分级</w:t>
            </w:r>
          </w:p>
        </w:tc>
        <w:tc>
          <w:tcPr>
            <w:tcW w:w="593" w:type="pct"/>
          </w:tcPr>
          <w:p w14:paraId="7247A51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4525A6D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4AA3534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2BE4788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477" w:type="pct"/>
          </w:tcPr>
          <w:p w14:paraId="75C5FB6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0DF3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103ABC5A">
            <w:pPr>
              <w:snapToGrid w:val="0"/>
              <w:spacing w:line="240" w:lineRule="auto"/>
              <w:rPr>
                <w:rFonts w:hint="eastAsia" w:ascii="宋体" w:hAnsi="宋体"/>
                <w:sz w:val="21"/>
                <w:szCs w:val="21"/>
                <w:lang w:val="en-US" w:eastAsia="zh-CN"/>
              </w:rPr>
            </w:pPr>
            <w:r>
              <w:rPr>
                <w:rFonts w:hint="eastAsia" w:ascii="宋体" w:hAnsi="宋体"/>
                <w:sz w:val="21"/>
                <w:szCs w:val="21"/>
              </w:rPr>
              <w:t>蛋鸡生产技术</w:t>
            </w:r>
          </w:p>
        </w:tc>
        <w:tc>
          <w:tcPr>
            <w:tcW w:w="760" w:type="pct"/>
            <w:vAlign w:val="center"/>
          </w:tcPr>
          <w:p w14:paraId="7DDE8939">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雏鸡的饲养管理技术</w:t>
            </w:r>
          </w:p>
          <w:p w14:paraId="1524632D">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育成鸡的饲养管理技术</w:t>
            </w:r>
          </w:p>
          <w:p w14:paraId="503C28D5">
            <w:pPr>
              <w:snapToGrid w:val="0"/>
              <w:spacing w:line="240" w:lineRule="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产蛋鸡的饲养管理技术</w:t>
            </w:r>
          </w:p>
          <w:p w14:paraId="1C2D11C2">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4.</w:t>
            </w:r>
            <w:r>
              <w:rPr>
                <w:rFonts w:hint="eastAsia" w:ascii="宋体" w:hAnsi="宋体"/>
                <w:sz w:val="21"/>
                <w:szCs w:val="21"/>
              </w:rPr>
              <w:t>蛋用种鸡的饲养管理技术</w:t>
            </w:r>
          </w:p>
        </w:tc>
        <w:tc>
          <w:tcPr>
            <w:tcW w:w="1123" w:type="pct"/>
            <w:vAlign w:val="center"/>
          </w:tcPr>
          <w:p w14:paraId="5CD705E8">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雏鸡的生理特点，掌握雏鸡的选择、运输方法。掌握育雏前的准备工作，掌握雏鸡的饲养管理技术</w:t>
            </w:r>
          </w:p>
          <w:p w14:paraId="5ED53DE8">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育成鸡的生理特点，掌握育成鸡的限制饲养作用、方法和注意事项。掌握育成鸡的管理要点</w:t>
            </w:r>
          </w:p>
          <w:p w14:paraId="6C507F54">
            <w:pPr>
              <w:snapToGrid w:val="0"/>
              <w:spacing w:line="240" w:lineRule="auto"/>
              <w:rPr>
                <w:rFonts w:hint="eastAsia" w:ascii="宋体" w:hAnsi="宋体"/>
                <w:sz w:val="21"/>
                <w:szCs w:val="21"/>
              </w:rPr>
            </w:pPr>
            <w:r>
              <w:rPr>
                <w:rFonts w:hint="eastAsia" w:ascii="宋体" w:hAnsi="宋体"/>
                <w:sz w:val="21"/>
                <w:szCs w:val="21"/>
              </w:rPr>
              <w:t>熟悉产蛋鸡的生理特点、产蛋规律，掌握产蛋鸡的饲养管理技术</w:t>
            </w:r>
          </w:p>
          <w:p w14:paraId="771238B6">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蛋种鸡的培育目标。了解种公鸡的培育要求，熟悉种公鸡的特殊营养需要。掌握蛋种鸡的饲养管理技术</w:t>
            </w:r>
          </w:p>
        </w:tc>
        <w:tc>
          <w:tcPr>
            <w:tcW w:w="1315" w:type="pct"/>
            <w:vAlign w:val="center"/>
          </w:tcPr>
          <w:p w14:paraId="192B40B9">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能进行正确的雏鸡选择、断喙及雏鸡的雌雄鉴别。能做好育雏的准备工作。能进行雏鸡的饲养管理</w:t>
            </w:r>
          </w:p>
          <w:p w14:paraId="548704B4">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能正确进行育成鸡抽称体重与均匀度的计算。</w:t>
            </w:r>
          </w:p>
          <w:p w14:paraId="4F37AEE7">
            <w:pPr>
              <w:snapToGrid w:val="0"/>
              <w:spacing w:line="240" w:lineRule="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能进行正确的限制饲养</w:t>
            </w:r>
            <w:r>
              <w:rPr>
                <w:rFonts w:hint="eastAsia" w:ascii="宋体" w:hAnsi="宋体"/>
                <w:sz w:val="21"/>
                <w:szCs w:val="21"/>
                <w:lang w:eastAsia="zh-CN"/>
              </w:rPr>
              <w:t>和</w:t>
            </w:r>
            <w:r>
              <w:rPr>
                <w:rFonts w:hint="eastAsia" w:ascii="宋体" w:hAnsi="宋体"/>
                <w:sz w:val="21"/>
                <w:szCs w:val="21"/>
              </w:rPr>
              <w:t>光照管理</w:t>
            </w:r>
          </w:p>
          <w:p w14:paraId="3B429615">
            <w:pPr>
              <w:snapToGrid w:val="0"/>
              <w:spacing w:line="240" w:lineRule="auto"/>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能正确鉴别高低产母鸡。</w:t>
            </w:r>
          </w:p>
          <w:p w14:paraId="51EDCACE">
            <w:pPr>
              <w:snapToGrid w:val="0"/>
              <w:spacing w:line="240" w:lineRule="auto"/>
              <w:rPr>
                <w:rFonts w:hint="eastAsia" w:ascii="宋体" w:hAnsi="宋体"/>
                <w:sz w:val="21"/>
                <w:szCs w:val="21"/>
              </w:rPr>
            </w:pPr>
            <w:r>
              <w:rPr>
                <w:rFonts w:hint="eastAsia" w:ascii="宋体" w:hAnsi="宋体"/>
                <w:sz w:val="21"/>
                <w:szCs w:val="21"/>
                <w:lang w:val="en-US" w:eastAsia="zh-CN"/>
              </w:rPr>
              <w:t>5.</w:t>
            </w:r>
            <w:r>
              <w:rPr>
                <w:rFonts w:hint="eastAsia" w:ascii="宋体" w:hAnsi="宋体"/>
                <w:sz w:val="21"/>
                <w:szCs w:val="21"/>
              </w:rPr>
              <w:t>能进行正确的分段饲养。</w:t>
            </w:r>
          </w:p>
          <w:p w14:paraId="64038413">
            <w:pPr>
              <w:snapToGrid w:val="0"/>
              <w:spacing w:line="240" w:lineRule="auto"/>
              <w:rPr>
                <w:rFonts w:hint="eastAsia" w:ascii="宋体" w:hAnsi="宋体"/>
                <w:sz w:val="21"/>
                <w:szCs w:val="21"/>
              </w:rPr>
            </w:pPr>
            <w:r>
              <w:rPr>
                <w:rFonts w:hint="eastAsia" w:ascii="宋体" w:hAnsi="宋体"/>
                <w:sz w:val="21"/>
                <w:szCs w:val="21"/>
                <w:lang w:val="en-US" w:eastAsia="zh-CN"/>
              </w:rPr>
              <w:t>6.</w:t>
            </w:r>
            <w:r>
              <w:rPr>
                <w:rFonts w:hint="eastAsia" w:ascii="宋体" w:hAnsi="宋体"/>
                <w:sz w:val="21"/>
                <w:szCs w:val="21"/>
              </w:rPr>
              <w:t>能因地制宜采用适当的防寒保暧、防暑降温措施</w:t>
            </w:r>
          </w:p>
          <w:p w14:paraId="78513C18">
            <w:pPr>
              <w:snapToGrid w:val="0"/>
              <w:spacing w:line="240" w:lineRule="auto"/>
              <w:rPr>
                <w:rFonts w:hint="eastAsia" w:ascii="宋体" w:hAnsi="宋体"/>
                <w:sz w:val="21"/>
                <w:szCs w:val="21"/>
              </w:rPr>
            </w:pPr>
            <w:r>
              <w:rPr>
                <w:rFonts w:hint="eastAsia" w:ascii="宋体" w:hAnsi="宋体"/>
                <w:sz w:val="21"/>
                <w:szCs w:val="21"/>
                <w:lang w:val="en-US" w:eastAsia="zh-CN"/>
              </w:rPr>
              <w:t>7.</w:t>
            </w:r>
            <w:r>
              <w:rPr>
                <w:rFonts w:hint="eastAsia" w:ascii="宋体" w:hAnsi="宋体"/>
                <w:sz w:val="21"/>
                <w:szCs w:val="21"/>
              </w:rPr>
              <w:t>能正确进行种公鸡的选择。正确进行公母鸡分饲技术。</w:t>
            </w:r>
          </w:p>
          <w:p w14:paraId="3AC61842">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8.</w:t>
            </w:r>
            <w:r>
              <w:rPr>
                <w:rFonts w:hint="eastAsia" w:ascii="宋体" w:hAnsi="宋体"/>
                <w:sz w:val="21"/>
                <w:szCs w:val="21"/>
              </w:rPr>
              <w:t>能分析影响种蛋受精率的因素，并采取适当的方法提高受精率</w:t>
            </w:r>
          </w:p>
        </w:tc>
        <w:tc>
          <w:tcPr>
            <w:tcW w:w="593" w:type="pct"/>
          </w:tcPr>
          <w:p w14:paraId="1720004F">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577A1EE5">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1AF297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1BAB4CF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477" w:type="pct"/>
          </w:tcPr>
          <w:p w14:paraId="4E5BA7B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526D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7A83B594">
            <w:pPr>
              <w:snapToGrid w:val="0"/>
              <w:spacing w:line="240" w:lineRule="auto"/>
              <w:rPr>
                <w:rFonts w:hint="eastAsia" w:ascii="宋体" w:hAnsi="宋体"/>
                <w:sz w:val="21"/>
                <w:szCs w:val="21"/>
                <w:lang w:val="en-US" w:eastAsia="zh-CN"/>
              </w:rPr>
            </w:pPr>
            <w:r>
              <w:rPr>
                <w:rFonts w:hint="eastAsia" w:ascii="宋体" w:hAnsi="宋体"/>
                <w:sz w:val="21"/>
                <w:szCs w:val="21"/>
              </w:rPr>
              <w:t xml:space="preserve"> 肉鸡生产技术</w:t>
            </w:r>
          </w:p>
        </w:tc>
        <w:tc>
          <w:tcPr>
            <w:tcW w:w="760" w:type="pct"/>
            <w:vAlign w:val="center"/>
          </w:tcPr>
          <w:p w14:paraId="530BE6A1">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 xml:space="preserve"> 肉用仔鸡生产技术</w:t>
            </w:r>
          </w:p>
          <w:p w14:paraId="5D7A7C2B">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黄羽肉鸡生产技术</w:t>
            </w:r>
          </w:p>
          <w:p w14:paraId="620BB9B2">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肉用种鸡生产技术</w:t>
            </w:r>
          </w:p>
        </w:tc>
        <w:tc>
          <w:tcPr>
            <w:tcW w:w="1123" w:type="pct"/>
            <w:vAlign w:val="center"/>
          </w:tcPr>
          <w:p w14:paraId="16EB1365">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了解肉用仔鸡生产特点，掌握肉用仔鸡饲养管理技术</w:t>
            </w:r>
          </w:p>
          <w:p w14:paraId="75AD3199">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了解黄羽肉鸡生产特点，掌握黄羽肉鸡饲养管理技术</w:t>
            </w:r>
          </w:p>
          <w:p w14:paraId="668B2BCA">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了解肉用种鸡生产的特点，掌握肉用种鸡限制饲养方法及其管理技术</w:t>
            </w:r>
          </w:p>
        </w:tc>
        <w:tc>
          <w:tcPr>
            <w:tcW w:w="1315" w:type="pct"/>
            <w:vAlign w:val="center"/>
          </w:tcPr>
          <w:p w14:paraId="1962F66A">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能采用正确的“全进全出”制度。能进行肉用仔鸡的日常饲养管理</w:t>
            </w:r>
          </w:p>
          <w:p w14:paraId="1C992903">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能因地制宜选择黄羽肉鸡的饲养方式。能进行黄羽肉鸡的日常饲养管理</w:t>
            </w:r>
          </w:p>
          <w:p w14:paraId="4E1D9E35">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能正确进行肉用种鸡的限制饲养。能进行肉用种鸡的日常管理</w:t>
            </w:r>
          </w:p>
        </w:tc>
        <w:tc>
          <w:tcPr>
            <w:tcW w:w="593" w:type="pct"/>
          </w:tcPr>
          <w:p w14:paraId="45381A5E">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C993368">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775FBA6C">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03CF253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477" w:type="pct"/>
          </w:tcPr>
          <w:p w14:paraId="3117592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713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131DCE14">
            <w:pPr>
              <w:snapToGrid w:val="0"/>
              <w:spacing w:line="240" w:lineRule="auto"/>
              <w:rPr>
                <w:rFonts w:hint="eastAsia" w:ascii="宋体" w:hAnsi="宋体"/>
                <w:sz w:val="21"/>
                <w:szCs w:val="21"/>
              </w:rPr>
            </w:pPr>
            <w:r>
              <w:rPr>
                <w:rFonts w:hint="eastAsia" w:ascii="宋体" w:hAnsi="宋体"/>
                <w:sz w:val="21"/>
                <w:szCs w:val="21"/>
                <w:lang w:eastAsia="zh-CN"/>
              </w:rPr>
              <w:t>水禽</w:t>
            </w:r>
            <w:r>
              <w:rPr>
                <w:rFonts w:hint="eastAsia" w:ascii="宋体" w:hAnsi="宋体"/>
                <w:sz w:val="21"/>
                <w:szCs w:val="21"/>
              </w:rPr>
              <w:t>生产技术</w:t>
            </w:r>
          </w:p>
          <w:p w14:paraId="0854CD9E">
            <w:pPr>
              <w:snapToGrid w:val="0"/>
              <w:spacing w:line="240" w:lineRule="auto"/>
              <w:rPr>
                <w:rFonts w:hint="eastAsia" w:ascii="宋体" w:hAnsi="宋体" w:eastAsiaTheme="minorEastAsia"/>
                <w:sz w:val="21"/>
                <w:szCs w:val="21"/>
                <w:lang w:val="en-US" w:eastAsia="zh-CN"/>
              </w:rPr>
            </w:pPr>
            <w:r>
              <w:rPr>
                <w:rFonts w:hint="eastAsia" w:ascii="宋体" w:hAnsi="宋体"/>
                <w:sz w:val="21"/>
                <w:szCs w:val="21"/>
                <w:lang w:eastAsia="zh-CN"/>
              </w:rPr>
              <w:t>（鸭、鹅）</w:t>
            </w:r>
          </w:p>
        </w:tc>
        <w:tc>
          <w:tcPr>
            <w:tcW w:w="760" w:type="pct"/>
            <w:vAlign w:val="center"/>
          </w:tcPr>
          <w:p w14:paraId="245C8B37">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蛋用</w:t>
            </w:r>
            <w:r>
              <w:rPr>
                <w:rFonts w:hint="eastAsia" w:ascii="宋体" w:hAnsi="宋体"/>
                <w:sz w:val="21"/>
                <w:szCs w:val="21"/>
                <w:lang w:eastAsia="zh-CN"/>
              </w:rPr>
              <w:t>水禽</w:t>
            </w:r>
            <w:r>
              <w:rPr>
                <w:rFonts w:hint="eastAsia" w:ascii="宋体" w:hAnsi="宋体"/>
                <w:sz w:val="21"/>
                <w:szCs w:val="21"/>
              </w:rPr>
              <w:t>的饲养管理技术</w:t>
            </w:r>
          </w:p>
          <w:p w14:paraId="0EFDE6AD">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育成</w:t>
            </w:r>
            <w:r>
              <w:rPr>
                <w:rFonts w:hint="eastAsia" w:ascii="宋体" w:hAnsi="宋体"/>
                <w:sz w:val="21"/>
                <w:szCs w:val="21"/>
                <w:lang w:eastAsia="zh-CN"/>
              </w:rPr>
              <w:t>水禽</w:t>
            </w:r>
            <w:r>
              <w:rPr>
                <w:rFonts w:hint="eastAsia" w:ascii="宋体" w:hAnsi="宋体"/>
                <w:sz w:val="21"/>
                <w:szCs w:val="21"/>
              </w:rPr>
              <w:t>和产蛋</w:t>
            </w:r>
            <w:r>
              <w:rPr>
                <w:rFonts w:hint="eastAsia" w:ascii="宋体" w:hAnsi="宋体"/>
                <w:sz w:val="21"/>
                <w:szCs w:val="21"/>
                <w:lang w:eastAsia="zh-CN"/>
              </w:rPr>
              <w:t>水禽</w:t>
            </w:r>
            <w:r>
              <w:rPr>
                <w:rFonts w:hint="eastAsia" w:ascii="宋体" w:hAnsi="宋体"/>
                <w:sz w:val="21"/>
                <w:szCs w:val="21"/>
              </w:rPr>
              <w:t>的饲养管理技术</w:t>
            </w:r>
          </w:p>
          <w:p w14:paraId="0469F61A">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肉用</w:t>
            </w:r>
            <w:r>
              <w:rPr>
                <w:rFonts w:hint="eastAsia" w:ascii="宋体" w:hAnsi="宋体"/>
                <w:sz w:val="21"/>
                <w:szCs w:val="21"/>
                <w:lang w:eastAsia="zh-CN"/>
              </w:rPr>
              <w:t>水禽</w:t>
            </w:r>
            <w:r>
              <w:rPr>
                <w:rFonts w:hint="eastAsia" w:ascii="宋体" w:hAnsi="宋体"/>
                <w:sz w:val="21"/>
                <w:szCs w:val="21"/>
              </w:rPr>
              <w:t>的饲养管理技术</w:t>
            </w:r>
          </w:p>
        </w:tc>
        <w:tc>
          <w:tcPr>
            <w:tcW w:w="1123" w:type="pct"/>
            <w:vAlign w:val="center"/>
          </w:tcPr>
          <w:p w14:paraId="6F129722">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掌握育雏前准备，掌握雏</w:t>
            </w:r>
            <w:r>
              <w:rPr>
                <w:rFonts w:hint="eastAsia" w:ascii="宋体" w:hAnsi="宋体"/>
                <w:sz w:val="21"/>
                <w:szCs w:val="21"/>
                <w:lang w:eastAsia="zh-CN"/>
              </w:rPr>
              <w:t>水禽</w:t>
            </w:r>
            <w:r>
              <w:rPr>
                <w:rFonts w:hint="eastAsia" w:ascii="宋体" w:hAnsi="宋体"/>
                <w:sz w:val="21"/>
                <w:szCs w:val="21"/>
              </w:rPr>
              <w:t>的饲养方式及饲养管理技术</w:t>
            </w:r>
          </w:p>
          <w:p w14:paraId="56D72B54">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掌握育成和产蛋</w:t>
            </w:r>
            <w:r>
              <w:rPr>
                <w:rFonts w:hint="eastAsia" w:ascii="宋体" w:hAnsi="宋体"/>
                <w:sz w:val="21"/>
                <w:szCs w:val="21"/>
                <w:lang w:eastAsia="zh-CN"/>
              </w:rPr>
              <w:t>水禽</w:t>
            </w:r>
            <w:r>
              <w:rPr>
                <w:rFonts w:hint="eastAsia" w:ascii="宋体" w:hAnsi="宋体"/>
                <w:sz w:val="21"/>
                <w:szCs w:val="21"/>
              </w:rPr>
              <w:t>的饲养管理技术</w:t>
            </w:r>
          </w:p>
          <w:p w14:paraId="676EA54A">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掌握大型肉用</w:t>
            </w:r>
            <w:r>
              <w:rPr>
                <w:rFonts w:hint="eastAsia" w:ascii="宋体" w:hAnsi="宋体"/>
                <w:sz w:val="21"/>
                <w:szCs w:val="21"/>
                <w:lang w:eastAsia="zh-CN"/>
              </w:rPr>
              <w:t>水禽</w:t>
            </w:r>
            <w:r>
              <w:rPr>
                <w:rFonts w:hint="eastAsia" w:ascii="宋体" w:hAnsi="宋体"/>
                <w:sz w:val="21"/>
                <w:szCs w:val="21"/>
              </w:rPr>
              <w:t>的饲养管理技术</w:t>
            </w:r>
          </w:p>
        </w:tc>
        <w:tc>
          <w:tcPr>
            <w:tcW w:w="1315" w:type="pct"/>
            <w:vAlign w:val="center"/>
          </w:tcPr>
          <w:p w14:paraId="45767BD8">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能做好育雏前准备。能合理选择育雏方式。能进行雏</w:t>
            </w:r>
            <w:r>
              <w:rPr>
                <w:rFonts w:hint="eastAsia" w:ascii="宋体" w:hAnsi="宋体"/>
                <w:sz w:val="21"/>
                <w:szCs w:val="21"/>
                <w:lang w:eastAsia="zh-CN"/>
              </w:rPr>
              <w:t>禽</w:t>
            </w:r>
            <w:r>
              <w:rPr>
                <w:rFonts w:hint="eastAsia" w:ascii="宋体" w:hAnsi="宋体"/>
                <w:sz w:val="21"/>
                <w:szCs w:val="21"/>
              </w:rPr>
              <w:t>的饲养管理</w:t>
            </w:r>
          </w:p>
          <w:p w14:paraId="30FBC10E">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能进行育成、产蛋</w:t>
            </w:r>
            <w:r>
              <w:rPr>
                <w:rFonts w:hint="eastAsia" w:ascii="宋体" w:hAnsi="宋体"/>
                <w:sz w:val="21"/>
                <w:szCs w:val="21"/>
                <w:lang w:eastAsia="zh-CN"/>
              </w:rPr>
              <w:t>水禽</w:t>
            </w:r>
            <w:r>
              <w:rPr>
                <w:rFonts w:hint="eastAsia" w:ascii="宋体" w:hAnsi="宋体"/>
                <w:sz w:val="21"/>
                <w:szCs w:val="21"/>
              </w:rPr>
              <w:t>的日常饲养管理和季节管理</w:t>
            </w:r>
          </w:p>
          <w:p w14:paraId="5F10426C">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能正确进行大型肉用种鸭的限制饲养和光照管理。能正确进行肉鸭的填饲操作及日常饲养管理</w:t>
            </w:r>
          </w:p>
        </w:tc>
        <w:tc>
          <w:tcPr>
            <w:tcW w:w="593" w:type="pct"/>
          </w:tcPr>
          <w:p w14:paraId="2529E81F">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5177AC1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435CCE5F">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26C751C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tc>
        <w:tc>
          <w:tcPr>
            <w:tcW w:w="477" w:type="pct"/>
          </w:tcPr>
          <w:p w14:paraId="7EE3CF5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D24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shd w:val="clear" w:color="auto" w:fill="auto"/>
            <w:vAlign w:val="center"/>
          </w:tcPr>
          <w:p w14:paraId="605F05FC">
            <w:pPr>
              <w:snapToGrid w:val="0"/>
              <w:spacing w:line="240" w:lineRule="auto"/>
              <w:rPr>
                <w:rFonts w:hint="eastAsia" w:ascii="宋体" w:hAnsi="宋体"/>
                <w:sz w:val="21"/>
                <w:szCs w:val="21"/>
                <w:lang w:val="en-US" w:eastAsia="zh-CN"/>
              </w:rPr>
            </w:pPr>
            <w:r>
              <w:rPr>
                <w:rFonts w:hint="eastAsia" w:ascii="宋体" w:hAnsi="宋体"/>
                <w:sz w:val="21"/>
                <w:szCs w:val="21"/>
              </w:rPr>
              <w:t>禽病的预防与诊断</w:t>
            </w:r>
          </w:p>
        </w:tc>
        <w:tc>
          <w:tcPr>
            <w:tcW w:w="760" w:type="pct"/>
            <w:shd w:val="clear" w:color="auto" w:fill="auto"/>
            <w:vAlign w:val="center"/>
          </w:tcPr>
          <w:p w14:paraId="4AD1B24B">
            <w:pPr>
              <w:snapToGrid w:val="0"/>
              <w:spacing w:line="240" w:lineRule="auto"/>
              <w:rPr>
                <w:rFonts w:hint="eastAsia" w:ascii="宋体" w:hAnsi="宋体"/>
                <w:sz w:val="21"/>
                <w:szCs w:val="21"/>
              </w:rPr>
            </w:pPr>
            <w:r>
              <w:rPr>
                <w:rFonts w:hint="eastAsia" w:ascii="宋体" w:hAnsi="宋体"/>
                <w:sz w:val="21"/>
                <w:szCs w:val="21"/>
              </w:rPr>
              <w:t>1.禽病的发生</w:t>
            </w:r>
          </w:p>
          <w:p w14:paraId="4EF04D54">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.禽病的流行</w:t>
            </w:r>
          </w:p>
          <w:p w14:paraId="011DCC8F">
            <w:pPr>
              <w:snapToGrid w:val="0"/>
              <w:spacing w:line="240" w:lineRule="auto"/>
              <w:rPr>
                <w:rFonts w:hint="eastAsia" w:ascii="宋体" w:hAnsi="宋体"/>
                <w:sz w:val="21"/>
                <w:szCs w:val="21"/>
                <w:lang w:val="en-US" w:eastAsia="zh-CN"/>
              </w:rPr>
            </w:pPr>
            <w:r>
              <w:rPr>
                <w:rFonts w:hint="eastAsia" w:ascii="宋体" w:hAnsi="宋体"/>
                <w:sz w:val="21"/>
                <w:szCs w:val="21"/>
              </w:rPr>
              <w:t>3</w:t>
            </w:r>
            <w:r>
              <w:rPr>
                <w:rFonts w:hint="eastAsia" w:ascii="宋体" w:hAnsi="宋体"/>
                <w:sz w:val="21"/>
                <w:szCs w:val="21"/>
                <w:lang w:eastAsia="zh-CN"/>
              </w:rPr>
              <w:t>.</w:t>
            </w:r>
            <w:r>
              <w:rPr>
                <w:rFonts w:hint="eastAsia" w:ascii="宋体" w:hAnsi="宋体"/>
                <w:sz w:val="21"/>
                <w:szCs w:val="21"/>
              </w:rPr>
              <w:t>禽病的预防和诊断</w:t>
            </w:r>
          </w:p>
        </w:tc>
        <w:tc>
          <w:tcPr>
            <w:tcW w:w="1123" w:type="pct"/>
            <w:shd w:val="clear" w:color="auto" w:fill="auto"/>
            <w:vAlign w:val="center"/>
          </w:tcPr>
          <w:p w14:paraId="6151C5BA">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了解禽病的病因、禽病的发生条件和禽病的分类。</w:t>
            </w:r>
          </w:p>
          <w:p w14:paraId="01274523">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掌握家禽疫病流行的基本条件和影响流行因素。</w:t>
            </w:r>
          </w:p>
          <w:p w14:paraId="23E05E47">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掌握禽病的预防、诊断和治疗方法。</w:t>
            </w:r>
          </w:p>
        </w:tc>
        <w:tc>
          <w:tcPr>
            <w:tcW w:w="1315" w:type="pct"/>
            <w:shd w:val="clear" w:color="auto" w:fill="auto"/>
            <w:vAlign w:val="center"/>
          </w:tcPr>
          <w:p w14:paraId="5A0FE2E2">
            <w:pPr>
              <w:snapToGrid w:val="0"/>
              <w:spacing w:line="240" w:lineRule="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能正确进行疫苗的保存及配制，疫苗的免疫接种。</w:t>
            </w:r>
          </w:p>
          <w:p w14:paraId="13903C70">
            <w:pPr>
              <w:snapToGrid w:val="0"/>
              <w:spacing w:line="240" w:lineRule="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能正确配制消毒药，会对禽舍实施消毒。</w:t>
            </w:r>
          </w:p>
          <w:p w14:paraId="710EB62C">
            <w:p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家禽发生疫情后能正确采取控制措施。</w:t>
            </w:r>
          </w:p>
        </w:tc>
        <w:tc>
          <w:tcPr>
            <w:tcW w:w="593" w:type="pct"/>
          </w:tcPr>
          <w:p w14:paraId="3D94506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2FC5D9CC">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9F99D3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5E6043B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477" w:type="pct"/>
          </w:tcPr>
          <w:p w14:paraId="0D4C0EF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00C3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shd w:val="clear" w:color="auto" w:fill="auto"/>
            <w:vAlign w:val="center"/>
          </w:tcPr>
          <w:p w14:paraId="1653CDBE">
            <w:pPr>
              <w:snapToGrid w:val="0"/>
              <w:spacing w:line="240" w:lineRule="auto"/>
              <w:rPr>
                <w:rFonts w:hint="eastAsia" w:ascii="宋体" w:hAnsi="宋体" w:eastAsiaTheme="minorEastAsia"/>
                <w:sz w:val="21"/>
                <w:szCs w:val="21"/>
                <w:lang w:eastAsia="zh-CN"/>
              </w:rPr>
            </w:pPr>
            <w:r>
              <w:rPr>
                <w:rFonts w:hint="eastAsia" w:ascii="宋体" w:hAnsi="宋体"/>
                <w:sz w:val="21"/>
                <w:szCs w:val="21"/>
                <w:lang w:eastAsia="zh-CN"/>
              </w:rPr>
              <w:t>集中实训</w:t>
            </w:r>
          </w:p>
        </w:tc>
        <w:tc>
          <w:tcPr>
            <w:tcW w:w="760" w:type="pct"/>
            <w:shd w:val="clear" w:color="auto" w:fill="auto"/>
            <w:vAlign w:val="center"/>
          </w:tcPr>
          <w:p w14:paraId="22E16BFB">
            <w:pPr>
              <w:numPr>
                <w:ilvl w:val="0"/>
                <w:numId w:val="32"/>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养禽场的设计</w:t>
            </w:r>
          </w:p>
          <w:p w14:paraId="491C1830">
            <w:pPr>
              <w:numPr>
                <w:ilvl w:val="0"/>
                <w:numId w:val="32"/>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种禽场的技能训练</w:t>
            </w:r>
          </w:p>
          <w:p w14:paraId="241DDE6D">
            <w:pPr>
              <w:numPr>
                <w:ilvl w:val="0"/>
                <w:numId w:val="32"/>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育雏室的管理</w:t>
            </w:r>
          </w:p>
          <w:p w14:paraId="7049F89E">
            <w:pPr>
              <w:numPr>
                <w:ilvl w:val="0"/>
                <w:numId w:val="32"/>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蛋鸡的生产管理</w:t>
            </w:r>
          </w:p>
          <w:p w14:paraId="133F4AF9">
            <w:pPr>
              <w:numPr>
                <w:ilvl w:val="0"/>
                <w:numId w:val="32"/>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肉禽的生产管理</w:t>
            </w:r>
          </w:p>
          <w:p w14:paraId="1047B986">
            <w:pPr>
              <w:snapToGrid w:val="0"/>
              <w:spacing w:line="240" w:lineRule="auto"/>
              <w:rPr>
                <w:rFonts w:hint="eastAsia" w:ascii="宋体" w:hAnsi="宋体"/>
                <w:sz w:val="21"/>
                <w:szCs w:val="21"/>
                <w:lang w:val="en-US" w:eastAsia="zh-CN"/>
              </w:rPr>
            </w:pPr>
          </w:p>
          <w:p w14:paraId="39F9AA77">
            <w:pPr>
              <w:snapToGrid w:val="0"/>
              <w:spacing w:line="240" w:lineRule="auto"/>
              <w:rPr>
                <w:rFonts w:hint="eastAsia" w:ascii="宋体" w:hAnsi="宋体"/>
                <w:sz w:val="21"/>
                <w:szCs w:val="21"/>
                <w:lang w:val="en-US" w:eastAsia="zh-CN"/>
              </w:rPr>
            </w:pPr>
          </w:p>
          <w:p w14:paraId="485E940F">
            <w:pPr>
              <w:snapToGrid w:val="0"/>
              <w:spacing w:line="240" w:lineRule="auto"/>
              <w:rPr>
                <w:rFonts w:hint="eastAsia" w:ascii="宋体" w:hAnsi="宋体"/>
                <w:sz w:val="21"/>
                <w:szCs w:val="21"/>
                <w:lang w:val="en-US" w:eastAsia="zh-CN"/>
              </w:rPr>
            </w:pPr>
          </w:p>
        </w:tc>
        <w:tc>
          <w:tcPr>
            <w:tcW w:w="1123" w:type="pct"/>
            <w:shd w:val="clear" w:color="auto" w:fill="auto"/>
            <w:vAlign w:val="center"/>
          </w:tcPr>
          <w:p w14:paraId="2EFCD5E1">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养禽场的选址及准备</w:t>
            </w:r>
          </w:p>
          <w:p w14:paraId="69AB46DE">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种蛋的选择，保存，消毒</w:t>
            </w:r>
          </w:p>
          <w:p w14:paraId="728F6D96">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种公鸡的调教和采精</w:t>
            </w:r>
          </w:p>
          <w:p w14:paraId="102635EA">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母鸡的人工授精</w:t>
            </w:r>
          </w:p>
          <w:p w14:paraId="7899A154">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孵化器的调试及孵化期间的管理</w:t>
            </w:r>
          </w:p>
          <w:p w14:paraId="5342D4C2">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育雏鸡舍、育成鸡舍的饲养管理</w:t>
            </w:r>
          </w:p>
          <w:p w14:paraId="4FFE5A8E">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蛋鸡的饲养管理，强制换羽</w:t>
            </w:r>
          </w:p>
          <w:p w14:paraId="59712FB2">
            <w:pPr>
              <w:numPr>
                <w:ilvl w:val="0"/>
                <w:numId w:val="33"/>
              </w:numPr>
              <w:snapToGrid w:val="0"/>
              <w:spacing w:line="240" w:lineRule="auto"/>
              <w:rPr>
                <w:rFonts w:hint="eastAsia" w:ascii="宋体" w:hAnsi="宋体"/>
                <w:sz w:val="21"/>
                <w:szCs w:val="21"/>
                <w:lang w:val="en-US" w:eastAsia="zh-CN"/>
              </w:rPr>
            </w:pPr>
            <w:r>
              <w:rPr>
                <w:rFonts w:hint="eastAsia" w:ascii="宋体" w:hAnsi="宋体"/>
                <w:sz w:val="21"/>
                <w:szCs w:val="21"/>
                <w:lang w:val="en-US" w:eastAsia="zh-CN"/>
              </w:rPr>
              <w:t>肉鸡的饲养管理</w:t>
            </w:r>
          </w:p>
        </w:tc>
        <w:tc>
          <w:tcPr>
            <w:tcW w:w="1315" w:type="pct"/>
            <w:shd w:val="clear" w:color="auto" w:fill="auto"/>
            <w:vAlign w:val="center"/>
          </w:tcPr>
          <w:p w14:paraId="69C2C265">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养禽场的选址及准备</w:t>
            </w:r>
          </w:p>
          <w:p w14:paraId="62B05F81">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种蛋的选择，保存，消毒</w:t>
            </w:r>
          </w:p>
          <w:p w14:paraId="3DF91F3D">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种公鸡的调教和采精</w:t>
            </w:r>
          </w:p>
          <w:p w14:paraId="43FC7FD5">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母鸡的人工授精</w:t>
            </w:r>
          </w:p>
          <w:p w14:paraId="3C71E207">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孵化器的调试及孵化期间的管理</w:t>
            </w:r>
          </w:p>
          <w:p w14:paraId="1CDD8CDA">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育雏鸡舍、育成鸡舍的饲养管理</w:t>
            </w:r>
          </w:p>
          <w:p w14:paraId="3B5A9C2E">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蛋鸡的饲养管理，强制换羽</w:t>
            </w:r>
          </w:p>
          <w:p w14:paraId="6BC1B1E9">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肉鸡的饲养管理</w:t>
            </w:r>
          </w:p>
          <w:p w14:paraId="2240138B">
            <w:pPr>
              <w:numPr>
                <w:ilvl w:val="0"/>
                <w:numId w:val="34"/>
              </w:numPr>
              <w:snapToGrid w:val="0"/>
              <w:spacing w:line="240" w:lineRule="auto"/>
              <w:ind w:left="425" w:leftChars="0" w:hanging="425" w:firstLineChars="0"/>
              <w:rPr>
                <w:rFonts w:hint="eastAsia" w:ascii="宋体" w:hAnsi="宋体"/>
                <w:sz w:val="21"/>
                <w:szCs w:val="21"/>
                <w:lang w:val="en-US" w:eastAsia="zh-CN"/>
              </w:rPr>
            </w:pPr>
            <w:r>
              <w:rPr>
                <w:rFonts w:hint="eastAsia" w:ascii="宋体" w:hAnsi="宋体"/>
                <w:sz w:val="21"/>
                <w:szCs w:val="21"/>
                <w:lang w:val="en-US" w:eastAsia="zh-CN"/>
              </w:rPr>
              <w:t>实验报告的撰写</w:t>
            </w:r>
          </w:p>
        </w:tc>
        <w:tc>
          <w:tcPr>
            <w:tcW w:w="593" w:type="pct"/>
          </w:tcPr>
          <w:p w14:paraId="4341EB9C">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75F51181">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076F172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6C99D272">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4E7BCE87">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p w14:paraId="1F15DD03">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创新意识</w:t>
            </w:r>
          </w:p>
          <w:p w14:paraId="7D0F3FBF">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生态文明</w:t>
            </w:r>
          </w:p>
        </w:tc>
        <w:tc>
          <w:tcPr>
            <w:tcW w:w="477" w:type="pct"/>
          </w:tcPr>
          <w:p w14:paraId="37A34AF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r>
    </w:tbl>
    <w:p w14:paraId="0C27F9AD">
      <w:pPr>
        <w:pStyle w:val="3"/>
        <w:bidi w:val="0"/>
        <w:rPr>
          <w:rFonts w:hint="eastAsia"/>
          <w:lang w:val="en-US" w:eastAsia="zh-CN"/>
        </w:rPr>
      </w:pPr>
      <w:r>
        <w:rPr>
          <w:rFonts w:hint="eastAsia"/>
          <w:lang w:val="en-US" w:eastAsia="zh-CN"/>
        </w:rPr>
        <w:t>六、课程考核与评价</w:t>
      </w:r>
    </w:p>
    <w:p w14:paraId="6DB41D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01D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AA5A8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FE8170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6BB73F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60B0B77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F29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D0BBF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1141E5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41A2076F">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27B2D62B">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06DB7AB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7E78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454B01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DC8C0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081DE42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358FEF7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04D437D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1151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31C49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0910C8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420C4D7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以技能认知和操作方式进行</w:t>
            </w:r>
          </w:p>
        </w:tc>
        <w:tc>
          <w:tcPr>
            <w:tcW w:w="719" w:type="pct"/>
            <w:tcBorders>
              <w:left w:val="single" w:color="auto" w:sz="4" w:space="0"/>
              <w:right w:val="single" w:color="auto" w:sz="4" w:space="0"/>
            </w:tcBorders>
            <w:vAlign w:val="center"/>
          </w:tcPr>
          <w:p w14:paraId="2004257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620A75D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27FA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12E81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18FD979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5A6A62D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708A9F3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029D7BF9">
      <w:pPr>
        <w:pStyle w:val="3"/>
        <w:bidi w:val="0"/>
        <w:rPr>
          <w:rFonts w:hint="eastAsia"/>
          <w:lang w:val="en-US" w:eastAsia="zh-CN"/>
        </w:rPr>
      </w:pPr>
      <w:r>
        <w:rPr>
          <w:rFonts w:hint="eastAsia"/>
          <w:lang w:val="en-US" w:eastAsia="zh-CN"/>
        </w:rPr>
        <w:t>七、课程实施与保障</w:t>
      </w:r>
    </w:p>
    <w:p w14:paraId="737519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4D8F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CB60A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FE468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工匠精神”、“职业道德”的课程思政价值链，结合中国科学家以及兽医师的经历，将科技创新精神和工匠精神传递给学生，促使专业知识与思政教育水乳交融。融入产业行业发展形势政策，增强学生的学习动力；融入行业知名医师事迹，培养学生医师工匠精神：融合专业创造发明故事，培养学生“创新创业"意识;融入安全教育，提高学生安全意识和防御安全能力，融入国防教学，树立学生科技报国的志向。</w:t>
      </w:r>
    </w:p>
    <w:p w14:paraId="245432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8411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66D72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专职教师在4人左右，其中专职教师3人，来自企业的兼职教师1人。应具备双师素质资格，具有一定的实践经验，教学效果良好，职称和年龄结构合理。</w:t>
      </w:r>
    </w:p>
    <w:p w14:paraId="1B9B6E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84E98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4C01F8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748B2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054"/>
        <w:gridCol w:w="3532"/>
        <w:gridCol w:w="3494"/>
      </w:tblGrid>
      <w:tr w14:paraId="05C4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7CC5198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序号</w:t>
            </w:r>
          </w:p>
        </w:tc>
        <w:tc>
          <w:tcPr>
            <w:tcW w:w="1042" w:type="pct"/>
            <w:vAlign w:val="top"/>
          </w:tcPr>
          <w:p w14:paraId="09FD9C1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名称</w:t>
            </w:r>
          </w:p>
        </w:tc>
        <w:tc>
          <w:tcPr>
            <w:tcW w:w="1792" w:type="pct"/>
            <w:vAlign w:val="top"/>
          </w:tcPr>
          <w:p w14:paraId="2C3C911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基本配置要求</w:t>
            </w:r>
          </w:p>
        </w:tc>
        <w:tc>
          <w:tcPr>
            <w:tcW w:w="1773" w:type="pct"/>
            <w:vAlign w:val="top"/>
          </w:tcPr>
          <w:p w14:paraId="7A61EF04">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功能说明</w:t>
            </w:r>
          </w:p>
        </w:tc>
      </w:tr>
      <w:tr w14:paraId="3156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05F99EBB">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1</w:t>
            </w:r>
          </w:p>
        </w:tc>
        <w:tc>
          <w:tcPr>
            <w:tcW w:w="1042" w:type="pct"/>
            <w:vAlign w:val="center"/>
          </w:tcPr>
          <w:p w14:paraId="10CAD5C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显微镜实训室</w:t>
            </w:r>
          </w:p>
        </w:tc>
        <w:tc>
          <w:tcPr>
            <w:tcW w:w="1792" w:type="pct"/>
            <w:vAlign w:val="center"/>
          </w:tcPr>
          <w:p w14:paraId="393D99FD">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光学显微镜、显微镜电子显示设备</w:t>
            </w:r>
          </w:p>
        </w:tc>
        <w:tc>
          <w:tcPr>
            <w:tcW w:w="1773" w:type="pct"/>
            <w:vAlign w:val="center"/>
          </w:tcPr>
          <w:p w14:paraId="55E418A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显微镜观察技术、设备使用和维护训练</w:t>
            </w:r>
          </w:p>
        </w:tc>
      </w:tr>
      <w:tr w14:paraId="2117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3E5C6DCA">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2</w:t>
            </w:r>
          </w:p>
        </w:tc>
        <w:tc>
          <w:tcPr>
            <w:tcW w:w="1042" w:type="pct"/>
            <w:vAlign w:val="center"/>
          </w:tcPr>
          <w:p w14:paraId="3F6DE74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动物解剖实训室</w:t>
            </w:r>
          </w:p>
        </w:tc>
        <w:tc>
          <w:tcPr>
            <w:tcW w:w="1792" w:type="pct"/>
            <w:vAlign w:val="center"/>
          </w:tcPr>
          <w:p w14:paraId="4F47D67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提供动物标本进行动物的组织器官识别</w:t>
            </w:r>
          </w:p>
        </w:tc>
        <w:tc>
          <w:tcPr>
            <w:tcW w:w="1773" w:type="pct"/>
            <w:vAlign w:val="top"/>
          </w:tcPr>
          <w:p w14:paraId="21796F01">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识别动物解剖器官及组织结构</w:t>
            </w:r>
          </w:p>
        </w:tc>
      </w:tr>
      <w:tr w14:paraId="13C1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0A4A8D49">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3</w:t>
            </w:r>
          </w:p>
        </w:tc>
        <w:tc>
          <w:tcPr>
            <w:tcW w:w="1042" w:type="pct"/>
            <w:vAlign w:val="center"/>
          </w:tcPr>
          <w:p w14:paraId="0CCBE3EA">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动物病理实训室</w:t>
            </w:r>
          </w:p>
        </w:tc>
        <w:tc>
          <w:tcPr>
            <w:tcW w:w="1792" w:type="pct"/>
            <w:vAlign w:val="center"/>
          </w:tcPr>
          <w:p w14:paraId="502D6624">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提供动物组织病理标本、组织切片设备</w:t>
            </w:r>
          </w:p>
        </w:tc>
        <w:tc>
          <w:tcPr>
            <w:tcW w:w="1773" w:type="pct"/>
            <w:vAlign w:val="center"/>
          </w:tcPr>
          <w:p w14:paraId="32ECA1EC">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识别病理特征、制备病理组织切片技术</w:t>
            </w:r>
          </w:p>
        </w:tc>
      </w:tr>
      <w:tr w14:paraId="04EE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7979F743">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4</w:t>
            </w:r>
          </w:p>
        </w:tc>
        <w:tc>
          <w:tcPr>
            <w:tcW w:w="1042" w:type="pct"/>
            <w:vAlign w:val="center"/>
          </w:tcPr>
          <w:p w14:paraId="59691205">
            <w:pPr>
              <w:pStyle w:val="9"/>
              <w:ind w:firstLine="0" w:firstLineChars="0"/>
              <w:rPr>
                <w:rFonts w:hint="eastAsia" w:ascii="宋体" w:hAnsi="宋体" w:cs="宋体"/>
                <w:iCs/>
                <w:sz w:val="21"/>
                <w:szCs w:val="21"/>
              </w:rPr>
            </w:pPr>
            <w:r>
              <w:rPr>
                <w:rFonts w:hint="eastAsia" w:ascii="宋体" w:hAnsi="宋体" w:cs="宋体"/>
                <w:iCs/>
                <w:sz w:val="21"/>
                <w:szCs w:val="21"/>
              </w:rPr>
              <w:t>禽类孵化室、出雏室</w:t>
            </w:r>
          </w:p>
        </w:tc>
        <w:tc>
          <w:tcPr>
            <w:tcW w:w="1792" w:type="pct"/>
            <w:vAlign w:val="center"/>
          </w:tcPr>
          <w:p w14:paraId="722631CC">
            <w:pPr>
              <w:pStyle w:val="9"/>
              <w:tabs>
                <w:tab w:val="left" w:pos="680"/>
              </w:tabs>
              <w:ind w:firstLine="0" w:firstLineChars="0"/>
              <w:rPr>
                <w:rFonts w:hint="eastAsia" w:ascii="宋体" w:hAnsi="宋体" w:cs="宋体"/>
                <w:iCs/>
                <w:sz w:val="21"/>
                <w:szCs w:val="21"/>
              </w:rPr>
            </w:pPr>
            <w:r>
              <w:rPr>
                <w:rFonts w:hint="eastAsia" w:ascii="宋体" w:hAnsi="宋体" w:cs="宋体"/>
                <w:iCs/>
                <w:sz w:val="21"/>
                <w:szCs w:val="21"/>
              </w:rPr>
              <w:t>禽类的孵化及出雏设备</w:t>
            </w:r>
          </w:p>
        </w:tc>
        <w:tc>
          <w:tcPr>
            <w:tcW w:w="1773" w:type="pct"/>
            <w:vAlign w:val="center"/>
          </w:tcPr>
          <w:p w14:paraId="47931FF3">
            <w:pPr>
              <w:pStyle w:val="9"/>
              <w:ind w:firstLine="0" w:firstLineChars="0"/>
              <w:rPr>
                <w:rFonts w:hint="eastAsia" w:ascii="宋体" w:hAnsi="宋体" w:cs="宋体"/>
                <w:iCs/>
                <w:sz w:val="21"/>
                <w:szCs w:val="21"/>
              </w:rPr>
            </w:pPr>
            <w:r>
              <w:rPr>
                <w:rFonts w:hint="eastAsia" w:ascii="宋体" w:hAnsi="宋体" w:cs="宋体"/>
                <w:iCs/>
                <w:sz w:val="21"/>
                <w:szCs w:val="21"/>
              </w:rPr>
              <w:t>禽类的孵化和出雏技术的训练</w:t>
            </w:r>
          </w:p>
        </w:tc>
      </w:tr>
      <w:tr w14:paraId="2BAA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52D4D11A">
            <w:pPr>
              <w:pStyle w:val="9"/>
              <w:ind w:firstLine="0" w:firstLineChars="0"/>
              <w:rPr>
                <w:rFonts w:hint="eastAsia" w:ascii="宋体" w:hAnsi="宋体" w:cs="宋体"/>
                <w:iCs/>
                <w:sz w:val="21"/>
                <w:szCs w:val="21"/>
                <w:lang w:val="en-US" w:eastAsia="zh-CN"/>
              </w:rPr>
            </w:pPr>
            <w:r>
              <w:rPr>
                <w:rFonts w:hint="eastAsia" w:ascii="宋体" w:hAnsi="宋体" w:cs="宋体"/>
                <w:iCs/>
                <w:sz w:val="21"/>
                <w:szCs w:val="21"/>
                <w:lang w:val="en-US" w:eastAsia="zh-CN"/>
              </w:rPr>
              <w:t>5</w:t>
            </w:r>
          </w:p>
        </w:tc>
        <w:tc>
          <w:tcPr>
            <w:tcW w:w="1042" w:type="pct"/>
            <w:vAlign w:val="center"/>
          </w:tcPr>
          <w:p w14:paraId="04FDCBC7">
            <w:pPr>
              <w:pStyle w:val="9"/>
              <w:ind w:firstLine="0" w:firstLineChars="0"/>
              <w:rPr>
                <w:rFonts w:hint="eastAsia" w:ascii="宋体" w:hAnsi="宋体" w:cs="宋体"/>
                <w:iCs/>
                <w:sz w:val="21"/>
                <w:szCs w:val="21"/>
              </w:rPr>
            </w:pPr>
            <w:r>
              <w:rPr>
                <w:rFonts w:hint="eastAsia" w:ascii="宋体" w:hAnsi="宋体" w:cs="宋体"/>
                <w:iCs/>
                <w:sz w:val="21"/>
                <w:szCs w:val="21"/>
              </w:rPr>
              <w:t>动物</w:t>
            </w:r>
            <w:r>
              <w:rPr>
                <w:rFonts w:hint="eastAsia" w:ascii="宋体" w:hAnsi="宋体" w:cs="宋体"/>
                <w:iCs/>
                <w:sz w:val="21"/>
                <w:szCs w:val="21"/>
                <w:lang w:eastAsia="zh-CN"/>
              </w:rPr>
              <w:t>生产</w:t>
            </w:r>
            <w:r>
              <w:rPr>
                <w:rFonts w:hint="eastAsia" w:ascii="宋体" w:hAnsi="宋体" w:cs="宋体"/>
                <w:iCs/>
                <w:sz w:val="21"/>
                <w:szCs w:val="21"/>
              </w:rPr>
              <w:t>虚拟</w:t>
            </w:r>
            <w:r>
              <w:rPr>
                <w:rFonts w:hint="eastAsia" w:ascii="宋体" w:hAnsi="宋体" w:cs="宋体"/>
                <w:iCs/>
                <w:sz w:val="21"/>
                <w:szCs w:val="21"/>
                <w:lang w:eastAsia="zh-CN"/>
              </w:rPr>
              <w:t>仿真</w:t>
            </w:r>
            <w:r>
              <w:rPr>
                <w:rFonts w:hint="eastAsia" w:ascii="宋体" w:hAnsi="宋体" w:cs="宋体"/>
                <w:iCs/>
                <w:sz w:val="21"/>
                <w:szCs w:val="21"/>
              </w:rPr>
              <w:t>实训室</w:t>
            </w:r>
          </w:p>
        </w:tc>
        <w:tc>
          <w:tcPr>
            <w:tcW w:w="1792" w:type="pct"/>
            <w:vAlign w:val="center"/>
          </w:tcPr>
          <w:p w14:paraId="45E95E5D">
            <w:pPr>
              <w:pStyle w:val="9"/>
              <w:ind w:firstLine="0" w:firstLineChars="0"/>
              <w:rPr>
                <w:rFonts w:hint="eastAsia" w:ascii="宋体" w:hAnsi="宋体" w:cs="宋体"/>
                <w:iCs/>
                <w:sz w:val="21"/>
                <w:szCs w:val="21"/>
              </w:rPr>
            </w:pPr>
            <w:r>
              <w:rPr>
                <w:rFonts w:hint="eastAsia" w:ascii="宋体" w:hAnsi="宋体" w:cs="宋体"/>
                <w:iCs/>
                <w:sz w:val="21"/>
                <w:szCs w:val="21"/>
                <w:lang w:eastAsia="zh-CN"/>
              </w:rPr>
              <w:t>禽，猪，牛羊生产的</w:t>
            </w:r>
            <w:r>
              <w:rPr>
                <w:rFonts w:hint="eastAsia" w:ascii="宋体" w:hAnsi="宋体" w:cs="宋体"/>
                <w:iCs/>
                <w:sz w:val="21"/>
                <w:szCs w:val="21"/>
              </w:rPr>
              <w:t>虚拟仿真成像系统设备</w:t>
            </w:r>
          </w:p>
        </w:tc>
        <w:tc>
          <w:tcPr>
            <w:tcW w:w="1773" w:type="pct"/>
            <w:vAlign w:val="center"/>
          </w:tcPr>
          <w:p w14:paraId="11CB8CEA">
            <w:pPr>
              <w:pStyle w:val="9"/>
              <w:ind w:firstLine="0" w:firstLineChars="0"/>
              <w:rPr>
                <w:rFonts w:hint="eastAsia" w:ascii="宋体" w:hAnsi="宋体" w:cs="宋体"/>
                <w:iCs/>
                <w:sz w:val="21"/>
                <w:szCs w:val="21"/>
              </w:rPr>
            </w:pPr>
            <w:r>
              <w:rPr>
                <w:rFonts w:hint="eastAsia" w:ascii="宋体" w:hAnsi="宋体" w:cs="宋体"/>
                <w:iCs/>
                <w:sz w:val="21"/>
                <w:szCs w:val="21"/>
              </w:rPr>
              <w:t>虚拟仿真软件成像进行动物</w:t>
            </w:r>
            <w:r>
              <w:rPr>
                <w:rFonts w:hint="eastAsia" w:ascii="宋体" w:hAnsi="宋体" w:cs="宋体"/>
                <w:iCs/>
                <w:sz w:val="21"/>
                <w:szCs w:val="21"/>
                <w:lang w:eastAsia="zh-CN"/>
              </w:rPr>
              <w:t>养殖的岗位模拟操作</w:t>
            </w:r>
          </w:p>
        </w:tc>
      </w:tr>
    </w:tbl>
    <w:p w14:paraId="7FED34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F80CF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6C3837F">
      <w:pPr>
        <w:spacing w:line="400" w:lineRule="exact"/>
        <w:ind w:firstLine="480" w:firstLineChars="200"/>
        <w:rPr>
          <w:rFonts w:hint="eastAsia" w:ascii="宋体" w:hAnsi="宋体" w:cs="宋体"/>
          <w:iCs/>
          <w:sz w:val="24"/>
        </w:rPr>
      </w:pPr>
      <w:r>
        <w:rPr>
          <w:rFonts w:hint="eastAsia" w:ascii="宋体" w:hAnsi="宋体" w:cs="宋体"/>
          <w:iCs/>
          <w:sz w:val="24"/>
        </w:rPr>
        <w:t>⑴教材选用基本要求</w:t>
      </w:r>
    </w:p>
    <w:p w14:paraId="6CC5DCC7">
      <w:pPr>
        <w:spacing w:line="400" w:lineRule="exact"/>
        <w:ind w:firstLine="480" w:firstLineChars="200"/>
        <w:rPr>
          <w:rFonts w:hint="eastAsia" w:ascii="宋体" w:hAnsi="宋体" w:cs="宋体"/>
          <w:iCs/>
          <w:sz w:val="24"/>
        </w:rPr>
      </w:pPr>
      <w:r>
        <w:rPr>
          <w:rFonts w:hint="eastAsia" w:ascii="宋体" w:hAnsi="宋体" w:cs="宋体"/>
          <w:iCs/>
          <w:sz w:val="24"/>
        </w:rPr>
        <w:t>按照国家规定选用近五年的高职高专</w:t>
      </w:r>
      <w:r>
        <w:rPr>
          <w:rFonts w:hint="eastAsia" w:ascii="宋体" w:hAnsi="宋体" w:cs="宋体"/>
          <w:iCs/>
          <w:sz w:val="24"/>
          <w:lang w:eastAsia="zh-CN"/>
        </w:rPr>
        <w:t>国家规划</w:t>
      </w:r>
      <w:r>
        <w:rPr>
          <w:rFonts w:hint="eastAsia" w:ascii="宋体" w:hAnsi="宋体" w:cs="宋体"/>
          <w:iCs/>
          <w:sz w:val="24"/>
        </w:rPr>
        <w:t>优质教材，禁止不合格的教材进入课堂，学校应建立专业教师、行业专家和教研人员等参与的教材选用机构，完善教材选用制度，经过规范程序择优选用教材。</w:t>
      </w:r>
    </w:p>
    <w:p w14:paraId="3349F64D">
      <w:pPr>
        <w:spacing w:line="400" w:lineRule="exact"/>
        <w:ind w:firstLine="480" w:firstLineChars="200"/>
        <w:rPr>
          <w:rFonts w:hint="eastAsia" w:ascii="宋体" w:hAnsi="宋体" w:cs="宋体"/>
          <w:iCs/>
          <w:sz w:val="24"/>
        </w:rPr>
      </w:pPr>
      <w:r>
        <w:rPr>
          <w:rFonts w:hint="eastAsia" w:ascii="宋体" w:hAnsi="宋体" w:cs="宋体"/>
          <w:iCs/>
          <w:sz w:val="24"/>
        </w:rPr>
        <w:t>⑵图书文献配备基本要求</w:t>
      </w:r>
    </w:p>
    <w:p w14:paraId="29BE5C86">
      <w:pPr>
        <w:spacing w:line="400" w:lineRule="exact"/>
        <w:ind w:firstLine="480" w:firstLineChars="200"/>
        <w:rPr>
          <w:rFonts w:hint="eastAsia" w:ascii="宋体" w:hAnsi="宋体" w:eastAsia="宋体" w:cs="宋体"/>
          <w:sz w:val="24"/>
          <w:szCs w:val="24"/>
          <w:lang w:val="en-US" w:eastAsia="zh-CN"/>
        </w:rPr>
      </w:pPr>
      <w:r>
        <w:rPr>
          <w:rFonts w:hint="eastAsia" w:ascii="宋体" w:hAnsi="宋体" w:cs="宋体"/>
          <w:iCs/>
          <w:sz w:val="24"/>
        </w:rPr>
        <w:t>图书文献配备能满足人才培养、专业建设、教科研等工作的需要，方便师生查询、借阅。专业类图书文献主要包括畜牧兽医行业的政策法规、行业发展相关文献、专业知识素材、国内外行业发展现状等；畜牧兽医专业必备图书资料，以及5种以上专业学术期刊和有关职业技能鉴定类图书。</w:t>
      </w:r>
    </w:p>
    <w:p w14:paraId="4836DD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9652CC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cs="宋体"/>
          <w:iCs/>
          <w:sz w:val="24"/>
        </w:rPr>
      </w:pPr>
      <w:r>
        <w:rPr>
          <w:rFonts w:hint="eastAsia" w:ascii="宋体" w:hAnsi="宋体" w:cs="宋体"/>
          <w:iCs/>
          <w:sz w:val="24"/>
          <w:lang w:val="en-US" w:eastAsia="zh-CN"/>
        </w:rPr>
        <w:t xml:space="preserve">    </w:t>
      </w:r>
      <w:r>
        <w:rPr>
          <w:rFonts w:hint="eastAsia" w:ascii="宋体" w:hAnsi="宋体" w:cs="宋体"/>
          <w:iCs/>
          <w:sz w:val="24"/>
        </w:rPr>
        <w:t>建设、配备与本专业有关的音视频素材、教学课件、数字化教学案例库、虚拟仿真软件、数字教材等专业教学资源库，应种类丰富、形式多样、使用便捷、动态更新，能满足教学要求。</w:t>
      </w:r>
    </w:p>
    <w:p w14:paraId="08563794">
      <w:pPr>
        <w:rPr>
          <w:rFonts w:hint="eastAsia" w:ascii="宋体" w:hAnsi="宋体" w:cs="宋体"/>
          <w:iCs/>
          <w:sz w:val="24"/>
        </w:rPr>
      </w:pPr>
      <w:r>
        <w:rPr>
          <w:rFonts w:hint="eastAsia" w:ascii="宋体" w:hAnsi="宋体" w:cs="宋体"/>
          <w:iCs/>
          <w:sz w:val="24"/>
        </w:rPr>
        <w:br w:type="page"/>
      </w:r>
    </w:p>
    <w:p w14:paraId="646AEF3E">
      <w:pPr>
        <w:pStyle w:val="2"/>
        <w:bidi w:val="0"/>
        <w:rPr>
          <w:rFonts w:hint="eastAsia"/>
          <w:lang w:val="en-US" w:eastAsia="zh-CN"/>
        </w:rPr>
      </w:pPr>
      <w:bookmarkStart w:id="34" w:name="_Toc22462"/>
      <w:bookmarkStart w:id="35" w:name="_Toc9711"/>
      <w:r>
        <w:rPr>
          <w:rFonts w:hint="eastAsia"/>
          <w:lang w:val="en-US" w:eastAsia="zh-CN"/>
        </w:rPr>
        <w:t>《养猪与猪病防治》课程标准</w:t>
      </w:r>
      <w:bookmarkEnd w:id="34"/>
      <w:bookmarkEnd w:id="35"/>
    </w:p>
    <w:p w14:paraId="2E64920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2742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FCD1BC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F011CC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养猪与猪病防治</w:t>
            </w:r>
          </w:p>
        </w:tc>
        <w:tc>
          <w:tcPr>
            <w:tcW w:w="534" w:type="pct"/>
            <w:tcBorders>
              <w:top w:val="single" w:color="auto" w:sz="4" w:space="0"/>
              <w:left w:val="single" w:color="auto" w:sz="4" w:space="0"/>
              <w:bottom w:val="single" w:color="auto" w:sz="4" w:space="0"/>
              <w:right w:val="single" w:color="auto" w:sz="4" w:space="0"/>
            </w:tcBorders>
            <w:vAlign w:val="center"/>
          </w:tcPr>
          <w:p w14:paraId="78A92D2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CB2571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sz w:val="24"/>
                <w:szCs w:val="24"/>
              </w:rPr>
              <w:t>xcxm24013</w:t>
            </w:r>
          </w:p>
        </w:tc>
      </w:tr>
      <w:tr w14:paraId="3CD6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8D74E3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5CC680EF">
            <w:pPr>
              <w:jc w:val="center"/>
              <w:rPr>
                <w:rFonts w:hint="default" w:eastAsiaTheme="minorEastAsia"/>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6DCE683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73B9863">
            <w:pPr>
              <w:jc w:val="center"/>
              <w:rPr>
                <w:rFonts w:hint="eastAsia"/>
                <w:lang w:val="en-US" w:eastAsia="zh-CN"/>
              </w:rPr>
            </w:pPr>
            <w:r>
              <w:rPr>
                <w:rFonts w:hint="eastAsia"/>
                <w:lang w:val="en-US" w:eastAsia="zh-CN"/>
              </w:rPr>
              <w:t>24学时</w:t>
            </w:r>
          </w:p>
        </w:tc>
        <w:tc>
          <w:tcPr>
            <w:tcW w:w="534" w:type="pct"/>
            <w:tcBorders>
              <w:top w:val="single" w:color="auto" w:sz="4" w:space="0"/>
              <w:left w:val="single" w:color="auto" w:sz="4" w:space="0"/>
              <w:bottom w:val="single" w:color="auto" w:sz="4" w:space="0"/>
              <w:right w:val="single" w:color="auto" w:sz="4" w:space="0"/>
            </w:tcBorders>
            <w:vAlign w:val="center"/>
          </w:tcPr>
          <w:p w14:paraId="30A8BDB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E33D62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5375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AAFB2C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277E046">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697C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3D7402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514CC1F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1C5A31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70A1BD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4"/>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18B309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A24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59DC7B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3B6B7630">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动物营养与饲料、动物遗传繁育、养殖场环境控制</w:t>
            </w:r>
          </w:p>
        </w:tc>
      </w:tr>
      <w:tr w14:paraId="4FFD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B87713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1EBFCE9">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动物疫病防治技术、兽医资格证考试培训、动物防疫与检疫</w:t>
            </w:r>
          </w:p>
        </w:tc>
      </w:tr>
      <w:tr w14:paraId="57DB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7C54A96">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选用教材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540575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《养猪与猪病防治》（邢军，中国农业大学出版社，2022，ISBN978-7-5655-2729-6)</w:t>
            </w:r>
          </w:p>
        </w:tc>
      </w:tr>
      <w:tr w14:paraId="4CED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A8A390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ECE1ABA">
            <w:pPr>
              <w:widowControl/>
              <w:jc w:val="left"/>
              <w:rPr>
                <w:rFonts w:hint="eastAsia" w:eastAsiaTheme="minorEastAsia"/>
                <w:lang w:val="en-US" w:eastAsia="zh-CN"/>
              </w:rPr>
            </w:pPr>
            <w:r>
              <w:rPr>
                <w:rFonts w:hint="eastAsia"/>
                <w:lang w:val="en-US" w:eastAsia="zh-CN"/>
              </w:rPr>
              <w:t>郑佳</w:t>
            </w:r>
          </w:p>
        </w:tc>
        <w:tc>
          <w:tcPr>
            <w:tcW w:w="534" w:type="pct"/>
            <w:tcBorders>
              <w:top w:val="single" w:color="auto" w:sz="4" w:space="0"/>
              <w:left w:val="single" w:color="auto" w:sz="4" w:space="0"/>
              <w:bottom w:val="single" w:color="auto" w:sz="4" w:space="0"/>
              <w:right w:val="single" w:color="auto" w:sz="4" w:space="0"/>
            </w:tcBorders>
            <w:vAlign w:val="center"/>
          </w:tcPr>
          <w:p w14:paraId="07CF3DC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975B0F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473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9D4262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1ACD4F9">
            <w:pPr>
              <w:widowControl/>
              <w:jc w:val="left"/>
              <w:rPr>
                <w:rFonts w:hint="eastAsia"/>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3DF8690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940CFAF">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5956B71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07E54AE">
      <w:pPr>
        <w:pStyle w:val="3"/>
        <w:bidi w:val="0"/>
        <w:rPr>
          <w:rFonts w:hint="eastAsia"/>
          <w:lang w:val="en-US" w:eastAsia="zh-CN"/>
        </w:rPr>
      </w:pPr>
      <w:r>
        <w:rPr>
          <w:rFonts w:hint="eastAsia"/>
          <w:lang w:val="en-US" w:eastAsia="zh-CN"/>
        </w:rPr>
        <w:t>二、课程定位</w:t>
      </w:r>
    </w:p>
    <w:p w14:paraId="20A014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必修的一门专业核心课程，是在《动物营养与饲料》《动物遗传繁育》《养殖场环境控制》等先修课程基础上开设的一门理论与实践相结合的课程。课程对接畜牧兽医专业人才培养目标，面向养猪场技术员、兽医防疫员、养殖管理岗等岗位，培养学生具备良好的职业素养和扎实的养猪生产与猪病防治能力，为后续《</w:t>
      </w:r>
      <w:r>
        <w:rPr>
          <w:rFonts w:hint="eastAsia" w:asciiTheme="minorEastAsia" w:hAnsiTheme="minorEastAsia" w:cstheme="minorEastAsia"/>
          <w:sz w:val="24"/>
          <w:szCs w:val="24"/>
          <w:lang w:val="en-US" w:eastAsia="zh-CN"/>
        </w:rPr>
        <w:t>动物疫病防治技术</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兽医资格证考试培训</w:t>
      </w:r>
      <w:r>
        <w:rPr>
          <w:rFonts w:hint="eastAsia" w:asciiTheme="minorEastAsia" w:hAnsiTheme="minorEastAsia" w:eastAsiaTheme="minorEastAsia" w:cstheme="minorEastAsia"/>
          <w:sz w:val="24"/>
          <w:szCs w:val="24"/>
          <w:lang w:val="en-US" w:eastAsia="zh-CN"/>
        </w:rPr>
        <w:t>》等课程学习奠定基础。同时，将课程思政内容有机融入教学全过程，引导学生树立正确的世界观、人生观、价值观，增强职业道德和社会责任感。</w:t>
      </w:r>
    </w:p>
    <w:p w14:paraId="461837AE">
      <w:pPr>
        <w:pStyle w:val="3"/>
        <w:bidi w:val="0"/>
        <w:rPr>
          <w:rFonts w:hint="eastAsia"/>
          <w:lang w:val="en-US" w:eastAsia="zh-CN"/>
        </w:rPr>
      </w:pPr>
      <w:r>
        <w:rPr>
          <w:rFonts w:hint="eastAsia"/>
          <w:lang w:val="en-US" w:eastAsia="zh-CN"/>
        </w:rPr>
        <w:t>三、课程设计思路</w:t>
      </w:r>
    </w:p>
    <w:p w14:paraId="6874E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基于OBE（成果导向教育）理念，以岗位能力需求为导向，以典型工作任务为载体，构建“教、学、做、评”一体化的课程体系。课程内容突出实用性、系统性，紧密结合养猪产业发展趋势和“1+X”证书要求，融入职业技能大赛标准，推动“岗课赛证”融通。</w:t>
      </w:r>
    </w:p>
    <w:p w14:paraId="637B91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实施采用“理论讲授+实践操作+案例研讨”相结合的方式，理论教学注重多媒体、实物展示与互动讲解，实践教学依托校内实训基地和合作养殖场，开展现场教学、技能实训与岗位体验。课程评价强化过程考核，建立多元评价体系，注重学生综合职业能力的培养。</w:t>
      </w:r>
    </w:p>
    <w:p w14:paraId="5E7FE2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思政方面，结合我国养猪产业发展历程、典型模范事迹、行业法规与生态文明要求，融入“爱岗敬业、精益求精、绿色发展、科技兴农”等思政元素，培养学生的工匠精神、法治意识、社会责任感和创新创业意识。</w:t>
      </w:r>
    </w:p>
    <w:p w14:paraId="0999F39E">
      <w:pPr>
        <w:pStyle w:val="3"/>
        <w:bidi w:val="0"/>
        <w:rPr>
          <w:rFonts w:hint="eastAsia"/>
          <w:lang w:val="en-US" w:eastAsia="zh-CN"/>
        </w:rPr>
      </w:pPr>
      <w:r>
        <w:rPr>
          <w:rFonts w:hint="eastAsia"/>
          <w:lang w:val="en-US" w:eastAsia="zh-CN"/>
        </w:rPr>
        <w:t>四、课程目标</w:t>
      </w:r>
    </w:p>
    <w:p w14:paraId="4D9097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7A79194">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了解国内外养猪业发展现状与趋势，熟悉猪的品种类型及其特点。</w:t>
      </w:r>
    </w:p>
    <w:p w14:paraId="34AD974E">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掌握猪的生理特点、繁殖技术与饲养管理基本知识。</w:t>
      </w:r>
    </w:p>
    <w:p w14:paraId="75B8A91B">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熟悉猪场规划设计与环境控制要求。</w:t>
      </w:r>
    </w:p>
    <w:p w14:paraId="6ED4FFD8">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掌握常见猪病的病原特点、流行规律与临床表现。</w:t>
      </w:r>
    </w:p>
    <w:p w14:paraId="21B188A9">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熟悉猪病诊断的基本方法与防治原则。</w:t>
      </w:r>
    </w:p>
    <w:p w14:paraId="30E2C8A0">
      <w:pPr>
        <w:keepNext w:val="0"/>
        <w:keepLines w:val="0"/>
        <w:pageBreakBefore w:val="0"/>
        <w:widowControl w:val="0"/>
        <w:numPr>
          <w:ilvl w:val="0"/>
          <w:numId w:val="35"/>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了解猪场生物安全体系与公共卫生知识。</w:t>
      </w:r>
    </w:p>
    <w:p w14:paraId="7E4BA0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5775B31B">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能进行猪场选址、布局设计与环境调控。</w:t>
      </w:r>
    </w:p>
    <w:p w14:paraId="14491DB9">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培养学生严谨务实、吃苦耐劳的职业态度。</w:t>
      </w:r>
    </w:p>
    <w:p w14:paraId="55DA92F9">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培养学生团队协作、沟通协调的组织能力。</w:t>
      </w:r>
    </w:p>
    <w:p w14:paraId="738A01DD">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培养学生安全操作、规范管理的责任意识。</w:t>
      </w:r>
    </w:p>
    <w:p w14:paraId="68AE3806">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培养学生环保节约、绿色发展的生态理念。</w:t>
      </w:r>
    </w:p>
    <w:p w14:paraId="3F4F6352">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培养学生持续学习、适应行业发展的进取精神。</w:t>
      </w:r>
    </w:p>
    <w:p w14:paraId="754598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4006DD5">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培养学生严谨务实、吃苦耐劳的职业态度。</w:t>
      </w:r>
    </w:p>
    <w:p w14:paraId="715690CA">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培养学生团队协作、沟通协调的组织能力。</w:t>
      </w:r>
    </w:p>
    <w:p w14:paraId="432BB2BD">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培养学生安全操作、规范管理的责任意识。</w:t>
      </w:r>
    </w:p>
    <w:p w14:paraId="688E7383">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培养学生环保节约、绿色发展的生态理念。</w:t>
      </w:r>
    </w:p>
    <w:p w14:paraId="15F2BA11">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培养学生持续学习、适应行业发展的进取精神</w:t>
      </w:r>
    </w:p>
    <w:p w14:paraId="5D0F50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0B5FEEEC">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职业道德：树立“爱岗敬业、诚实守信、服务三农”的职业理念，遵守兽医职业道德规范。</w:t>
      </w:r>
    </w:p>
    <w:p w14:paraId="15A2854F">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工匠精神：培育“精益求精、严谨专注”的工匠精神，提升岗位技能水平。</w:t>
      </w:r>
    </w:p>
    <w:p w14:paraId="20FAEC00">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法治意识：增强动物防疫法等相关法律法规意识，做到依法养殖、规范防疫。</w:t>
      </w:r>
    </w:p>
    <w:p w14:paraId="074E924A">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社会责任：强化“保障食品安全、促进畜牧业健康发展”的社会责任感。</w:t>
      </w:r>
    </w:p>
    <w:p w14:paraId="3ED4A997">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家国情怀：结合我国养猪业发展成就，增强行业自信与强国担当意识。</w:t>
      </w:r>
    </w:p>
    <w:p w14:paraId="5B73B6E9">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创新意识：鼓励学习新技术、新模式，培养创新思维与创业能力。</w:t>
      </w:r>
    </w:p>
    <w:p w14:paraId="32025576">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生态文明：树立绿色发展理念，推行生态养殖模式，促进养殖业可持续发展。</w:t>
      </w:r>
    </w:p>
    <w:p w14:paraId="3F041307">
      <w:pPr>
        <w:pStyle w:val="3"/>
        <w:bidi w:val="0"/>
        <w:rPr>
          <w:rFonts w:hint="eastAsia"/>
          <w:lang w:val="en-US" w:eastAsia="zh-CN"/>
        </w:rPr>
      </w:pPr>
      <w:r>
        <w:rPr>
          <w:rFonts w:hint="eastAsia"/>
          <w:lang w:val="en-US" w:eastAsia="zh-CN"/>
        </w:rPr>
        <w:t>五、课程内容和要求</w:t>
      </w:r>
    </w:p>
    <w:p w14:paraId="066DF9C9">
      <w:pPr>
        <w:rPr>
          <w:rFonts w:hint="eastAsia"/>
          <w:lang w:val="en-US" w:eastAsia="zh-CN"/>
        </w:rPr>
      </w:pPr>
      <w:r>
        <w:rPr>
          <w:rFonts w:hint="eastAsia"/>
          <w:lang w:val="en-US" w:eastAsia="zh-CN"/>
        </w:rPr>
        <w:br w:type="page"/>
      </w:r>
    </w:p>
    <w:p w14:paraId="4A4F6468">
      <w:pPr>
        <w:rPr>
          <w:rFonts w:hint="eastAsia"/>
          <w:lang w:val="en-US" w:eastAsia="zh-CN"/>
        </w:rPr>
      </w:pP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942"/>
        <w:gridCol w:w="1327"/>
        <w:gridCol w:w="1662"/>
        <w:gridCol w:w="2050"/>
        <w:gridCol w:w="1218"/>
      </w:tblGrid>
      <w:tr w14:paraId="5F94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38" w:type="pct"/>
          </w:tcPr>
          <w:p w14:paraId="4E3E73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985" w:type="pct"/>
          </w:tcPr>
          <w:p w14:paraId="4C4DBC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673" w:type="pct"/>
          </w:tcPr>
          <w:p w14:paraId="4A3CF0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43" w:type="pct"/>
          </w:tcPr>
          <w:p w14:paraId="432568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0" w:type="pct"/>
          </w:tcPr>
          <w:p w14:paraId="02DD89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618" w:type="pct"/>
          </w:tcPr>
          <w:p w14:paraId="26F5F5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65A8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04FE3C9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项目1：猪品种识别与选育技术</w:t>
            </w:r>
          </w:p>
        </w:tc>
        <w:tc>
          <w:tcPr>
            <w:tcW w:w="985" w:type="pct"/>
            <w:vAlign w:val="center"/>
          </w:tcPr>
          <w:p w14:paraId="3CA05AE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 猪品种识别</w:t>
            </w:r>
          </w:p>
          <w:p w14:paraId="1D8BE49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 猪繁殖性能测定</w:t>
            </w:r>
          </w:p>
          <w:p w14:paraId="1D415DB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 猪体型外貌评定</w:t>
            </w:r>
          </w:p>
          <w:p w14:paraId="11B76B3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 猪生产性能测定</w:t>
            </w:r>
          </w:p>
          <w:p w14:paraId="376C69B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 猪胴体性状测定</w:t>
            </w:r>
          </w:p>
          <w:p w14:paraId="25BA16A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 种猪的选留</w:t>
            </w:r>
          </w:p>
          <w:p w14:paraId="283F642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 商品猪生产模式与种猪繁育体系</w:t>
            </w:r>
          </w:p>
        </w:tc>
        <w:tc>
          <w:tcPr>
            <w:tcW w:w="673" w:type="pct"/>
            <w:vAlign w:val="center"/>
          </w:tcPr>
          <w:p w14:paraId="2D6C09A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猪的经济类型、国内外主要品种特性</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繁殖力、生产性能、胴体性状的测定指标与意义</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种猪选留的方法与标准</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杂交优势原理与常见商品猪生产模式</w:t>
            </w:r>
          </w:p>
          <w:p w14:paraId="44C7ED71">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3DE700C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能准确识别主要猪品种并描述其特点。</w:t>
            </w:r>
          </w:p>
          <w:p w14:paraId="746B3CA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能进行猪的体尺测量与外貌初步评定。</w:t>
            </w:r>
          </w:p>
          <w:p w14:paraId="594043D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能理解性能测定报告，参与种猪初选工作。</w:t>
            </w:r>
          </w:p>
          <w:p w14:paraId="6699E0C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能阐述常见杂交繁育体系。</w:t>
            </w:r>
          </w:p>
        </w:tc>
        <w:tc>
          <w:tcPr>
            <w:tcW w:w="1040" w:type="pct"/>
            <w:vAlign w:val="center"/>
          </w:tcPr>
          <w:p w14:paraId="2048008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b/>
                <w:bCs/>
                <w:sz w:val="21"/>
                <w:szCs w:val="21"/>
                <w:lang w:val="en-US" w:eastAsia="zh-CN"/>
              </w:rPr>
              <w:t>品种</w:t>
            </w:r>
            <w:r>
              <w:rPr>
                <w:rFonts w:hint="eastAsia" w:asciiTheme="minorEastAsia" w:hAnsiTheme="minorEastAsia" w:eastAsiaTheme="minorEastAsia" w:cstheme="minorEastAsia"/>
                <w:b/>
                <w:bCs/>
                <w:sz w:val="21"/>
                <w:szCs w:val="21"/>
                <w:lang w:val="en-US" w:eastAsia="zh-CN"/>
              </w:rPr>
              <w:t>自信与工匠精神</w:t>
            </w:r>
            <w:r>
              <w:rPr>
                <w:rFonts w:hint="eastAsia" w:asciiTheme="minorEastAsia" w:hAnsiTheme="minorEastAsia" w:eastAsiaTheme="minorEastAsia" w:cstheme="minorEastAsia"/>
                <w:sz w:val="21"/>
                <w:szCs w:val="21"/>
                <w:lang w:val="en-US" w:eastAsia="zh-CN"/>
              </w:rPr>
              <w:t>：了解我国地方猪种资源，树立种业振兴的责任感；培养在育种工作中追求数据准确、精益求精的态度。</w:t>
            </w:r>
          </w:p>
        </w:tc>
        <w:tc>
          <w:tcPr>
            <w:tcW w:w="618" w:type="pct"/>
            <w:vAlign w:val="center"/>
          </w:tcPr>
          <w:p w14:paraId="7CF72EC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 (理论4+实践2)</w:t>
            </w:r>
          </w:p>
        </w:tc>
      </w:tr>
      <w:tr w14:paraId="64D0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0B22333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项目2：猪的繁殖技术</w:t>
            </w:r>
          </w:p>
        </w:tc>
        <w:tc>
          <w:tcPr>
            <w:tcW w:w="985" w:type="pct"/>
            <w:vAlign w:val="center"/>
          </w:tcPr>
          <w:p w14:paraId="1805FBD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 母猪发情鉴定</w:t>
            </w:r>
          </w:p>
          <w:p w14:paraId="1ABAF09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1F68400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 猪的人工授精</w:t>
            </w:r>
          </w:p>
          <w:p w14:paraId="6DA799D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1406680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 母猪妊娠诊断</w:t>
            </w:r>
          </w:p>
          <w:p w14:paraId="1DA21F3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1586A16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 母猪的分娩和接产</w:t>
            </w:r>
          </w:p>
        </w:tc>
        <w:tc>
          <w:tcPr>
            <w:tcW w:w="673" w:type="pct"/>
            <w:vAlign w:val="center"/>
          </w:tcPr>
          <w:p w14:paraId="68A7F88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母猪发情周期、症状及异常发情的原因</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人工授精各环节（采精、质检、稀释、输精）的技术要点</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妊娠诊断的常用方法</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分娩预兆、接产流程及产后护理要点</w:t>
            </w:r>
          </w:p>
          <w:p w14:paraId="37BD078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4C11AAB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能熟练进行母猪发情鉴定。</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能规范完成猪人工授精的辅助操作。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能运用B超法等实施妊娠诊断。</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能完成正常分娩接产及初生仔猪护理。</w:t>
            </w:r>
          </w:p>
          <w:p w14:paraId="60ABE21E">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5352CC9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关爱生命与责任意识</w:t>
            </w:r>
            <w:r>
              <w:rPr>
                <w:rFonts w:hint="eastAsia" w:ascii="宋体" w:hAnsi="宋体" w:eastAsia="宋体" w:cs="宋体"/>
                <w:sz w:val="21"/>
                <w:szCs w:val="21"/>
                <w:lang w:val="en-US" w:eastAsia="zh-CN"/>
              </w:rPr>
              <w:t>：在繁殖操作中体现对母猪和仔猪的关爱；理解高效繁殖对产业稳定的重要性，培养岗位责任感。</w:t>
            </w:r>
          </w:p>
        </w:tc>
        <w:tc>
          <w:tcPr>
            <w:tcW w:w="618" w:type="pct"/>
            <w:vAlign w:val="center"/>
          </w:tcPr>
          <w:p w14:paraId="03C7AB51">
            <w:pPr>
              <w:keepNext w:val="0"/>
              <w:keepLines w:val="0"/>
              <w:pageBreakBefore w:val="0"/>
              <w:widowControl w:val="0"/>
              <w:kinsoku/>
              <w:wordWrap/>
              <w:overflowPunct/>
              <w:topLinePunct w:val="0"/>
              <w:autoSpaceDE/>
              <w:autoSpaceDN/>
              <w:bidi w:val="0"/>
              <w:adjustRightInd w:val="0"/>
              <w:snapToGrid w:val="0"/>
              <w:jc w:val="both"/>
              <w:textAlignment w:val="auto"/>
              <w:rPr>
                <w:rFonts w:hint="default"/>
                <w:sz w:val="21"/>
                <w:szCs w:val="21"/>
                <w:lang w:val="en-US"/>
              </w:rPr>
            </w:pPr>
            <w:r>
              <w:rPr>
                <w:rFonts w:hint="eastAsia" w:ascii="宋体" w:hAnsi="宋体" w:eastAsia="宋体" w:cs="宋体"/>
                <w:sz w:val="21"/>
                <w:szCs w:val="21"/>
                <w:lang w:val="en-US" w:eastAsia="zh-CN"/>
              </w:rPr>
              <w:t>10</w:t>
            </w:r>
            <w:r>
              <w:rPr>
                <w:rFonts w:hint="default" w:ascii="宋体" w:hAnsi="宋体" w:eastAsia="宋体" w:cs="宋体"/>
                <w:sz w:val="21"/>
                <w:szCs w:val="21"/>
                <w:lang w:val="en-US" w:eastAsia="zh-CN"/>
              </w:rPr>
              <w:t>(理论</w:t>
            </w:r>
            <w:r>
              <w:rPr>
                <w:rFonts w:hint="eastAsia" w:ascii="宋体" w:hAnsi="宋体" w:eastAsia="宋体" w:cs="宋体"/>
                <w:sz w:val="21"/>
                <w:szCs w:val="21"/>
                <w:lang w:val="en-US" w:eastAsia="zh-CN"/>
              </w:rPr>
              <w:t>6</w:t>
            </w:r>
            <w:r>
              <w:rPr>
                <w:rFonts w:hint="default" w:ascii="宋体" w:hAnsi="宋体" w:eastAsia="宋体" w:cs="宋体"/>
                <w:sz w:val="21"/>
                <w:szCs w:val="21"/>
                <w:lang w:val="en-US" w:eastAsia="zh-CN"/>
              </w:rPr>
              <w:t>+实践</w:t>
            </w:r>
            <w:r>
              <w:rPr>
                <w:rFonts w:hint="eastAsia" w:ascii="宋体" w:hAnsi="宋体" w:eastAsia="宋体" w:cs="宋体"/>
                <w:sz w:val="21"/>
                <w:szCs w:val="21"/>
                <w:lang w:val="en-US" w:eastAsia="zh-CN"/>
              </w:rPr>
              <w:t>4）</w:t>
            </w:r>
          </w:p>
          <w:p w14:paraId="02847FF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r>
      <w:tr w14:paraId="247A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25723E9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项目3：猪的饲养管理技术</w:t>
            </w:r>
          </w:p>
        </w:tc>
        <w:tc>
          <w:tcPr>
            <w:tcW w:w="985" w:type="pct"/>
            <w:vAlign w:val="center"/>
          </w:tcPr>
          <w:p w14:paraId="761438F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 种公猪的饲养管理</w:t>
            </w:r>
          </w:p>
          <w:p w14:paraId="750FE04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0DFEEA2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 种母猪的饲养管理</w:t>
            </w:r>
          </w:p>
          <w:p w14:paraId="16954C9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7C5C255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 哺乳仔猪的饲养管理</w:t>
            </w:r>
          </w:p>
          <w:p w14:paraId="0D9F461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5AF6A5F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 保育仔猪的饲养管理</w:t>
            </w:r>
          </w:p>
          <w:p w14:paraId="63201E6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10F4D1A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 生长育肥猪的饲养管理</w:t>
            </w:r>
          </w:p>
        </w:tc>
        <w:tc>
          <w:tcPr>
            <w:tcW w:w="673" w:type="pct"/>
            <w:vAlign w:val="center"/>
          </w:tcPr>
          <w:p w14:paraId="4B98E8E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种公猪的生殖特点及饲养管理要点。</w:t>
            </w:r>
          </w:p>
          <w:p w14:paraId="182FF2B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空怀、妊娠、哺乳各阶段母猪的饲养管理目标与技术。</w:t>
            </w:r>
          </w:p>
          <w:p w14:paraId="3E39BBF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哺乳仔猪生理特点、关键饲养技术及常见问题对策。</w:t>
            </w:r>
          </w:p>
          <w:p w14:paraId="1568ABE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保育猪及生长育肥猪的饲养管理流程与技术要求。</w:t>
            </w:r>
          </w:p>
        </w:tc>
        <w:tc>
          <w:tcPr>
            <w:tcW w:w="843" w:type="pct"/>
            <w:vAlign w:val="center"/>
          </w:tcPr>
          <w:p w14:paraId="1CF7A8F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能制定并执行各类猪群的日常饲养管理规程。</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能熟练进行仔猪的补铁、去势、补料、断奶等操作。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能通过观察猪群状态，及时发现并处理常见饲养问题。</w:t>
            </w:r>
          </w:p>
          <w:p w14:paraId="78DB360C">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56CE22C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工匠精神与科学态度</w:t>
            </w:r>
            <w:r>
              <w:rPr>
                <w:rFonts w:hint="eastAsia" w:ascii="宋体" w:hAnsi="宋体" w:eastAsia="宋体" w:cs="宋体"/>
                <w:sz w:val="21"/>
                <w:szCs w:val="21"/>
                <w:lang w:val="en-US" w:eastAsia="zh-CN"/>
              </w:rPr>
              <w:t>：培养耐心、细致的“饲养员”素养；树立尊重动物福利、按科学规律进行精细化管理的理念。</w:t>
            </w:r>
          </w:p>
        </w:tc>
        <w:tc>
          <w:tcPr>
            <w:tcW w:w="618" w:type="pct"/>
            <w:vAlign w:val="center"/>
          </w:tcPr>
          <w:p w14:paraId="5CD9809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r>
              <w:rPr>
                <w:rFonts w:hint="default" w:ascii="宋体" w:hAnsi="宋体" w:eastAsia="宋体" w:cs="宋体"/>
                <w:sz w:val="21"/>
                <w:szCs w:val="21"/>
                <w:lang w:val="en-US" w:eastAsia="zh-CN"/>
              </w:rPr>
              <w:t> (理论</w:t>
            </w:r>
            <w:r>
              <w:rPr>
                <w:rFonts w:hint="eastAsia" w:ascii="宋体" w:hAnsi="宋体" w:eastAsia="宋体" w:cs="宋体"/>
                <w:sz w:val="21"/>
                <w:szCs w:val="21"/>
                <w:lang w:val="en-US" w:eastAsia="zh-CN"/>
              </w:rPr>
              <w:t>10</w:t>
            </w:r>
            <w:r>
              <w:rPr>
                <w:rFonts w:hint="default" w:ascii="宋体" w:hAnsi="宋体" w:eastAsia="宋体" w:cs="宋体"/>
                <w:sz w:val="21"/>
                <w:szCs w:val="21"/>
                <w:lang w:val="en-US" w:eastAsia="zh-CN"/>
              </w:rPr>
              <w:t>+实践</w:t>
            </w:r>
            <w:r>
              <w:rPr>
                <w:rFonts w:hint="eastAsia" w:ascii="宋体" w:hAnsi="宋体" w:eastAsia="宋体" w:cs="宋体"/>
                <w:sz w:val="21"/>
                <w:szCs w:val="21"/>
                <w:lang w:val="en-US" w:eastAsia="zh-CN"/>
              </w:rPr>
              <w:t>6</w:t>
            </w:r>
            <w:r>
              <w:rPr>
                <w:rFonts w:hint="default" w:ascii="宋体" w:hAnsi="宋体" w:eastAsia="宋体" w:cs="宋体"/>
                <w:sz w:val="21"/>
                <w:szCs w:val="21"/>
                <w:lang w:val="en-US" w:eastAsia="zh-CN"/>
              </w:rPr>
              <w:t>)</w:t>
            </w:r>
          </w:p>
          <w:p w14:paraId="5485DDC1">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r>
      <w:tr w14:paraId="04F8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0D4494E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项目4：猪场规划设计技术</w:t>
            </w:r>
          </w:p>
        </w:tc>
        <w:tc>
          <w:tcPr>
            <w:tcW w:w="985" w:type="pct"/>
            <w:vAlign w:val="center"/>
          </w:tcPr>
          <w:p w14:paraId="0193F32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 猪场总体规划与布局</w:t>
            </w:r>
          </w:p>
          <w:p w14:paraId="10BF46E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4-2 猪舍建筑设计</w:t>
            </w:r>
          </w:p>
          <w:p w14:paraId="104C58B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4-3 养猪设备与环境调控</w:t>
            </w:r>
          </w:p>
          <w:p w14:paraId="5659817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73" w:type="pct"/>
            <w:vAlign w:val="center"/>
          </w:tcPr>
          <w:p w14:paraId="66EF584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猪场选址原则、功能区划分与工艺流线规划。</w:t>
            </w:r>
          </w:p>
          <w:p w14:paraId="2B9EA62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各类猪舍的建筑形式、结构要求与设计要点。</w:t>
            </w:r>
          </w:p>
          <w:p w14:paraId="7890CF0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主要养猪设备的功能，以及温度、湿度、通风等环境因子的调控方法。</w:t>
            </w:r>
          </w:p>
          <w:p w14:paraId="7B85296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粪污处理与资源化利用的基本方式</w:t>
            </w:r>
          </w:p>
        </w:tc>
        <w:tc>
          <w:tcPr>
            <w:tcW w:w="843" w:type="pct"/>
            <w:vAlign w:val="center"/>
          </w:tcPr>
          <w:p w14:paraId="0EA601E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能识读猪场规划布局图，分析其合理性。</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能辨识常见养猪设备并说明其用途。</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能操作环控设备，调节猪舍环境。</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能简述粪污处理工艺流程</w:t>
            </w:r>
          </w:p>
          <w:p w14:paraId="66F8AC87">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5E48DA7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生态文明与法规意识</w:t>
            </w:r>
            <w:r>
              <w:rPr>
                <w:rFonts w:hint="eastAsia" w:ascii="宋体" w:hAnsi="宋体" w:eastAsia="宋体" w:cs="宋体"/>
                <w:sz w:val="21"/>
                <w:szCs w:val="21"/>
                <w:lang w:val="en-US" w:eastAsia="zh-CN"/>
              </w:rPr>
              <w:t>：深刻理解环保是养殖业可持续发展的生命线，树立绿色养殖观；强化遵守国土规划、环保法规的意识。</w:t>
            </w:r>
          </w:p>
        </w:tc>
        <w:tc>
          <w:tcPr>
            <w:tcW w:w="618" w:type="pct"/>
            <w:vAlign w:val="center"/>
          </w:tcPr>
          <w:p w14:paraId="678F6E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6（理论4+实践2）</w:t>
            </w:r>
          </w:p>
        </w:tc>
      </w:tr>
      <w:tr w14:paraId="2A2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485458A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项目5：猪场经营管理技术</w:t>
            </w:r>
          </w:p>
          <w:p w14:paraId="57BF03AD">
            <w:pPr>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eastAsia" w:ascii="宋体" w:hAnsi="宋体" w:eastAsia="宋体" w:cs="宋体"/>
                <w:b/>
                <w:bCs/>
                <w:sz w:val="21"/>
                <w:szCs w:val="21"/>
                <w:lang w:val="en-US" w:eastAsia="zh-CN"/>
              </w:rPr>
            </w:pPr>
          </w:p>
        </w:tc>
        <w:tc>
          <w:tcPr>
            <w:tcW w:w="985" w:type="pct"/>
            <w:vAlign w:val="center"/>
          </w:tcPr>
          <w:p w14:paraId="7ABCF92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 猪场生产计划的编制</w:t>
            </w:r>
          </w:p>
          <w:p w14:paraId="7C10F92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5-2 猪场岗位设置及其职责制订</w:t>
            </w:r>
          </w:p>
          <w:p w14:paraId="4250AAD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5-3 猪场目标管理方案的制订</w:t>
            </w:r>
          </w:p>
          <w:p w14:paraId="71F6786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5-4 猪场财务管理</w:t>
            </w:r>
          </w:p>
          <w:p w14:paraId="0632469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5-5 猪场数据计算机管理</w:t>
            </w:r>
          </w:p>
          <w:p w14:paraId="38FCF4E1">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73" w:type="pct"/>
            <w:vAlign w:val="center"/>
          </w:tcPr>
          <w:p w14:paraId="6C7A658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猪群结构划分、生产计划（配种、分娩、转群等）编制方法</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猪场组织机构、岗位职责与操作规程</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猪场成本构成、财务核算与数据分析基本知识</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现代化猪场数据管理的内容与意义</w:t>
            </w:r>
          </w:p>
          <w:p w14:paraId="19D5B14B">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1A00C2A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能编制简单的猪场周/月生产计划表。</w:t>
            </w:r>
          </w:p>
          <w:p w14:paraId="209A66D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能理解主要岗位的职责与考核指标。</w:t>
            </w:r>
          </w:p>
          <w:p w14:paraId="5F073DC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能进行基本的养猪生产成本核算。</w:t>
            </w:r>
          </w:p>
          <w:p w14:paraId="2DFF3E4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能使用简易软件进行生产数据记录与查询。</w:t>
            </w:r>
          </w:p>
        </w:tc>
        <w:tc>
          <w:tcPr>
            <w:tcW w:w="1040" w:type="pct"/>
            <w:vAlign w:val="center"/>
          </w:tcPr>
          <w:p w14:paraId="65B56D0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诚信经营与效率意识</w:t>
            </w:r>
            <w:r>
              <w:rPr>
                <w:rFonts w:hint="eastAsia" w:ascii="宋体" w:hAnsi="宋体" w:eastAsia="宋体" w:cs="宋体"/>
                <w:sz w:val="21"/>
                <w:szCs w:val="21"/>
                <w:lang w:val="en-US" w:eastAsia="zh-CN"/>
              </w:rPr>
              <w:t>：培养成本意识与经济效益观念；树立诚实守信、数据真实的职业操守；理解管理出效益的现代化经营理念。</w:t>
            </w:r>
          </w:p>
        </w:tc>
        <w:tc>
          <w:tcPr>
            <w:tcW w:w="618" w:type="pct"/>
            <w:vAlign w:val="center"/>
          </w:tcPr>
          <w:p w14:paraId="23EF9A5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4（理论2+实践2）</w:t>
            </w:r>
          </w:p>
        </w:tc>
      </w:tr>
      <w:tr w14:paraId="0F3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7E5C572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项目6：猪群健康管理基础</w:t>
            </w:r>
          </w:p>
        </w:tc>
        <w:tc>
          <w:tcPr>
            <w:tcW w:w="985" w:type="pct"/>
            <w:vAlign w:val="center"/>
          </w:tcPr>
          <w:p w14:paraId="5091CBC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 猪病的类型</w:t>
            </w:r>
          </w:p>
          <w:p w14:paraId="5CA6AB1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6-2 猪场兽医生物安全体系构建</w:t>
            </w:r>
          </w:p>
          <w:p w14:paraId="449060C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6-3 猪病的诊断技术</w:t>
            </w:r>
          </w:p>
          <w:p w14:paraId="7A2432C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6-4 猪群的免疫接种与监测技术</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6-5 猪场消毒技术</w:t>
            </w:r>
          </w:p>
          <w:p w14:paraId="1DCE1427">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73" w:type="pct"/>
            <w:vAlign w:val="center"/>
          </w:tcPr>
          <w:p w14:paraId="3C7F54C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传染性疾病、寄生虫病及普通病的概念与特点</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生物安全体系的概念、内容与构建措施</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临床诊断、病理学检查及病料送检的基本方法</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免疫程序制定、接种技术及免疫监测方法</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 消毒方法、程序及常见消毒剂应用</w:t>
            </w:r>
          </w:p>
          <w:p w14:paraId="0BF8EABB">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3111939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能区分常见猪病的类型。</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能阐述并执行猪场关键生物安全措施。</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能进行猪群的常规临床检查（视、触、听、测）。</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能规范完成免疫接种、猪舍消毒等操作。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 能规范采集、保存病料。</w:t>
            </w:r>
          </w:p>
          <w:p w14:paraId="514F4C85">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72E3EC9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公共安全与责任担当</w:t>
            </w:r>
            <w:r>
              <w:rPr>
                <w:rFonts w:hint="eastAsia" w:ascii="宋体" w:hAnsi="宋体" w:eastAsia="宋体" w:cs="宋体"/>
                <w:sz w:val="21"/>
                <w:szCs w:val="21"/>
                <w:lang w:val="en-US" w:eastAsia="zh-CN"/>
              </w:rPr>
              <w:t>：深刻理解防疫工作是保障畜牧业安全、食品安全和公共安全的基石，培养高度的社会责任感与纪律性。</w:t>
            </w:r>
          </w:p>
        </w:tc>
        <w:tc>
          <w:tcPr>
            <w:tcW w:w="618" w:type="pct"/>
            <w:vAlign w:val="center"/>
          </w:tcPr>
          <w:p w14:paraId="1A0F733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8（理论4+实践4）</w:t>
            </w:r>
          </w:p>
        </w:tc>
      </w:tr>
      <w:tr w14:paraId="4A4A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130E31F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项目7：猪常见传染病防治</w:t>
            </w:r>
          </w:p>
          <w:p w14:paraId="064C1C21">
            <w:pPr>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eastAsia" w:ascii="宋体" w:hAnsi="宋体" w:eastAsia="宋体" w:cs="宋体"/>
                <w:b/>
                <w:bCs/>
                <w:sz w:val="21"/>
                <w:szCs w:val="21"/>
                <w:lang w:val="en-US" w:eastAsia="zh-CN"/>
              </w:rPr>
            </w:pPr>
          </w:p>
        </w:tc>
        <w:tc>
          <w:tcPr>
            <w:tcW w:w="985" w:type="pct"/>
            <w:vAlign w:val="center"/>
          </w:tcPr>
          <w:p w14:paraId="229D87D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 猪常见病毒性传染病的防治</w:t>
            </w:r>
          </w:p>
          <w:p w14:paraId="67C96D7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p w14:paraId="03E0E00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 猪常见细菌性传染病的防治。</w:t>
            </w:r>
          </w:p>
        </w:tc>
        <w:tc>
          <w:tcPr>
            <w:tcW w:w="673" w:type="pct"/>
            <w:vAlign w:val="center"/>
          </w:tcPr>
          <w:p w14:paraId="3217DD5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猪瘟、非洲猪瘟、口蹄疫、繁殖与呼吸综合征等重大病毒病的流行特点、症状及防控要点</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猪传染性胸膜肺炎、支原体肺炎、副猪嗜血杆菌病等常见细菌病的诊断与防治</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p>
          <w:p w14:paraId="0E04A3BB">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2DEA8C8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能识别重大传染病的典型临床症状（通过多媒体或案例）。</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能针对常见细菌病，提出初步的防控与用药方案。</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能正确执行特定传染病的紧急处置与上报流程。</w:t>
            </w:r>
          </w:p>
          <w:p w14:paraId="65C3E287">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20BB042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科学防疫与职业操守</w:t>
            </w:r>
            <w:r>
              <w:rPr>
                <w:rFonts w:hint="eastAsia" w:ascii="宋体" w:hAnsi="宋体" w:eastAsia="宋体" w:cs="宋体"/>
                <w:sz w:val="21"/>
                <w:szCs w:val="21"/>
                <w:lang w:val="en-US" w:eastAsia="zh-CN"/>
              </w:rPr>
              <w:t>：坚持“预防为主”的科学防控观；在疫情面前坚守职业道德，做到依法报告、不瞒报不漏报。</w:t>
            </w:r>
          </w:p>
          <w:p w14:paraId="57098598">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18" w:type="pct"/>
            <w:vAlign w:val="center"/>
          </w:tcPr>
          <w:p w14:paraId="7E3007B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10（理论6+实践4）</w:t>
            </w:r>
          </w:p>
        </w:tc>
      </w:tr>
      <w:tr w14:paraId="4F23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68FB093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项目8：猪寄生虫病防治</w:t>
            </w:r>
          </w:p>
        </w:tc>
        <w:tc>
          <w:tcPr>
            <w:tcW w:w="985" w:type="pct"/>
            <w:vAlign w:val="center"/>
          </w:tcPr>
          <w:p w14:paraId="0D094D0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 猪常见寄生虫病的防治</w:t>
            </w:r>
          </w:p>
          <w:p w14:paraId="4C572CF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8-2 猪其他寄生虫病的防治</w:t>
            </w:r>
          </w:p>
          <w:p w14:paraId="5E39E9B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673" w:type="pct"/>
            <w:vAlign w:val="center"/>
          </w:tcPr>
          <w:p w14:paraId="6BA1C10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猪蛔虫、疥螨、弓形虫等常见寄生虫的生活史、致病特点</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主要寄生虫病的诊断要点与防治措施</w:t>
            </w:r>
          </w:p>
          <w:p w14:paraId="30E23BA6">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47F6B91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能识别常见寄生虫病的典型症状。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能制定并执行猪场常规驱虫方案。</w:t>
            </w:r>
          </w:p>
          <w:p w14:paraId="5AA7BBA3">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4932A13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公共卫生意识</w:t>
            </w:r>
            <w:r>
              <w:rPr>
                <w:rFonts w:hint="eastAsia" w:ascii="宋体" w:hAnsi="宋体" w:eastAsia="宋体" w:cs="宋体"/>
                <w:sz w:val="21"/>
                <w:szCs w:val="21"/>
                <w:lang w:val="en-US" w:eastAsia="zh-CN"/>
              </w:rPr>
              <w:t>：理解人畜共患寄生虫病的公共卫生意义，树立“同一健康”理念。</w:t>
            </w:r>
          </w:p>
          <w:p w14:paraId="17BE8C38">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18" w:type="pct"/>
            <w:vAlign w:val="center"/>
          </w:tcPr>
          <w:p w14:paraId="4D4AF13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E9A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145F075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项目9：猪常见普通病防治</w:t>
            </w:r>
          </w:p>
          <w:p w14:paraId="0BCA9EDF">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985" w:type="pct"/>
            <w:vAlign w:val="center"/>
          </w:tcPr>
          <w:p w14:paraId="7549275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养代谢病、中毒病等</w:t>
            </w:r>
          </w:p>
          <w:p w14:paraId="16651CF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p>
        </w:tc>
        <w:tc>
          <w:tcPr>
            <w:tcW w:w="673" w:type="pct"/>
            <w:vAlign w:val="center"/>
          </w:tcPr>
          <w:p w14:paraId="11254B7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常见营养代谢病（如仔猪缺铁性贫血）的病因与防治</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"https://www.aijiaocai.com/textbook/details?textbook_id=3232688" \t "/Users/zhengjia/Documents\\x/_blank"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常见中毒病（如霉菌毒素中毒）的识别与处理原则。</w:t>
            </w:r>
          </w:p>
          <w:p w14:paraId="14582D9B">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843" w:type="pct"/>
            <w:vAlign w:val="center"/>
          </w:tcPr>
          <w:p w14:paraId="10DE5A7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能识别常见普通病的典型症状。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能根据病因提出基本的预防与管理建议。</w:t>
            </w:r>
          </w:p>
          <w:p w14:paraId="44FFA163">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1040" w:type="pct"/>
            <w:vAlign w:val="center"/>
          </w:tcPr>
          <w:p w14:paraId="64042B7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安全生产与质量意识</w:t>
            </w:r>
            <w:r>
              <w:rPr>
                <w:rFonts w:hint="eastAsia" w:ascii="宋体" w:hAnsi="宋体" w:eastAsia="宋体" w:cs="宋体"/>
                <w:sz w:val="21"/>
                <w:szCs w:val="21"/>
                <w:lang w:val="en-US" w:eastAsia="zh-CN"/>
              </w:rPr>
              <w:t>：认识饲料安全与饲养管理对疾病预防的重要性，强化安全生产和质量控制的源头思维。</w:t>
            </w:r>
          </w:p>
          <w:p w14:paraId="37AE1435">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sz w:val="21"/>
                <w:szCs w:val="21"/>
                <w:lang w:val="en-US" w:eastAsia="zh-CN"/>
              </w:rPr>
            </w:pPr>
          </w:p>
        </w:tc>
        <w:tc>
          <w:tcPr>
            <w:tcW w:w="618" w:type="pct"/>
            <w:vAlign w:val="center"/>
          </w:tcPr>
          <w:p w14:paraId="3F23C19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21267CC7">
      <w:pPr>
        <w:pStyle w:val="3"/>
        <w:bidi w:val="0"/>
        <w:rPr>
          <w:rFonts w:hint="eastAsia"/>
          <w:lang w:val="en-US" w:eastAsia="zh-CN"/>
        </w:rPr>
      </w:pPr>
      <w:r>
        <w:rPr>
          <w:rFonts w:hint="eastAsia"/>
          <w:lang w:val="en-US" w:eastAsia="zh-CN"/>
        </w:rPr>
        <w:t>六、课程考核与评价</w:t>
      </w:r>
    </w:p>
    <w:p w14:paraId="187FA1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9EC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72A6226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011AA74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4969FA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4EE0364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35D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3E684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17C028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46AD6DC4">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12C6BEE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16274C2A">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出勤40%、课堂参与30%、作业完成情况30%</w:t>
            </w:r>
          </w:p>
        </w:tc>
      </w:tr>
      <w:tr w14:paraId="207A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6B05ED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07EC3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3C004865">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20E87694">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000F8A3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78D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7B437E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071AD6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6" w:type="pct"/>
            <w:tcBorders>
              <w:left w:val="single" w:color="auto" w:sz="4" w:space="0"/>
              <w:right w:val="single" w:color="auto" w:sz="4" w:space="0"/>
            </w:tcBorders>
            <w:vAlign w:val="center"/>
          </w:tcPr>
          <w:p w14:paraId="46016DA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0586F254">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5491C1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阶段性考核评价</w:t>
            </w:r>
          </w:p>
        </w:tc>
      </w:tr>
      <w:tr w14:paraId="2745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82FD2B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32E72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55260EDF">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以技能操作方式进行</w:t>
            </w:r>
          </w:p>
        </w:tc>
        <w:tc>
          <w:tcPr>
            <w:tcW w:w="719" w:type="pct"/>
            <w:tcBorders>
              <w:left w:val="single" w:color="auto" w:sz="4" w:space="0"/>
              <w:right w:val="single" w:color="auto" w:sz="4" w:space="0"/>
            </w:tcBorders>
            <w:vAlign w:val="center"/>
          </w:tcPr>
          <w:p w14:paraId="5992D679">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5DBF51A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实训操作规范性、任务完成质量、实验报告撰写</w:t>
            </w:r>
          </w:p>
        </w:tc>
      </w:tr>
      <w:tr w14:paraId="2A47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7BA64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620390F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429308A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1942" w:type="pct"/>
            <w:tcBorders>
              <w:left w:val="single" w:color="auto" w:sz="4" w:space="0"/>
              <w:right w:val="single" w:color="auto" w:sz="4" w:space="0"/>
            </w:tcBorders>
            <w:vAlign w:val="center"/>
          </w:tcPr>
          <w:p w14:paraId="3B88A4B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6BDC11B">
      <w:pPr>
        <w:pStyle w:val="3"/>
        <w:bidi w:val="0"/>
        <w:rPr>
          <w:rFonts w:hint="eastAsia"/>
          <w:lang w:val="en-US" w:eastAsia="zh-CN"/>
        </w:rPr>
      </w:pPr>
      <w:r>
        <w:rPr>
          <w:rFonts w:hint="eastAsia"/>
          <w:lang w:val="en-US" w:eastAsia="zh-CN"/>
        </w:rPr>
        <w:t>七、课程实施与保障</w:t>
      </w:r>
    </w:p>
    <w:p w14:paraId="149517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71AB2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 xml:space="preserve">本课程采用“项目引领、任务驱动”的教学模式，理论教学运用案例教学、小组讨论、情景模拟等方法；实践教学采用现场教学、技能实训、岗位体验等形式，依托校内实训基地开展实践教学。使用学习通、智慧职教等平台开展资源学习与过程管理。    </w:t>
      </w:r>
      <w:r>
        <w:rPr>
          <w:rFonts w:hint="eastAsia" w:ascii="宋体" w:hAnsi="宋体" w:eastAsia="宋体" w:cs="宋体"/>
          <w:color w:val="FF0000"/>
          <w:sz w:val="24"/>
          <w:szCs w:val="24"/>
          <w:lang w:val="en-US" w:eastAsia="zh-CN"/>
        </w:rPr>
        <w:t xml:space="preserve">   </w:t>
      </w:r>
    </w:p>
    <w:p w14:paraId="303625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00C6A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围绕“绿色发展、责任养殖、科技兴农”主线，将行业模范事迹、国家政策法规、生态养殖案例等融入教学各环节。通过讲述行业工匠故事、分析典型疫病公共事件、开展养殖环保主题讨论等方式，自然渗透职业道德、法治意识、家国情怀与创新精神，实现知识传授与价值引领的统一。</w:t>
      </w:r>
    </w:p>
    <w:p w14:paraId="12D974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3B615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2BE0E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506E6E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211148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多媒体教室（支持视频播放、实物展示）。</w:t>
      </w:r>
    </w:p>
    <w:p w14:paraId="2427A6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畜牧实训中心（包括解剖实训室、养猪虚拟仿真实验室、兽医诊疗实训室）。</w:t>
      </w:r>
    </w:p>
    <w:p w14:paraId="7A6362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1DC3A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（1）基本教学资源：课程标准、授课计划、教案、课件、实训指导书、习题集、案例库；</w:t>
      </w:r>
    </w:p>
    <w:p w14:paraId="626D89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（2）数字教学资源：虚拟仿真软件、在线测试题库、行业政策法规汇编、典型猪病图谱库等。</w:t>
      </w:r>
    </w:p>
    <w:p w14:paraId="1B34256E">
      <w:pPr>
        <w:rPr>
          <w:rFonts w:hint="eastAsia" w:ascii="宋体" w:hAnsi="宋体" w:cs="宋体"/>
          <w:iCs/>
          <w:sz w:val="24"/>
          <w:lang w:val="en-US" w:eastAsia="zh-CN"/>
        </w:rPr>
      </w:pPr>
      <w:r>
        <w:rPr>
          <w:rFonts w:hint="eastAsia" w:ascii="宋体" w:hAnsi="宋体" w:cs="宋体"/>
          <w:iCs/>
          <w:sz w:val="24"/>
          <w:lang w:val="en-US" w:eastAsia="zh-CN"/>
        </w:rPr>
        <w:br w:type="page"/>
      </w:r>
    </w:p>
    <w:p w14:paraId="653A08A1">
      <w:pPr>
        <w:pStyle w:val="2"/>
        <w:bidi w:val="0"/>
        <w:jc w:val="center"/>
        <w:rPr>
          <w:rFonts w:hint="eastAsia"/>
          <w:lang w:val="en-US" w:eastAsia="zh-CN"/>
        </w:rPr>
      </w:pPr>
      <w:bookmarkStart w:id="36" w:name="_Toc22419"/>
      <w:bookmarkStart w:id="37" w:name="_Toc8719"/>
      <w:r>
        <w:rPr>
          <w:rFonts w:hint="eastAsia"/>
          <w:lang w:val="en-US" w:eastAsia="zh-CN"/>
        </w:rPr>
        <w:t>《动物内科病》课程标准</w:t>
      </w:r>
      <w:bookmarkEnd w:id="36"/>
      <w:bookmarkEnd w:id="37"/>
    </w:p>
    <w:p w14:paraId="7A40C57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1E6C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7B73E4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6BC3E8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动物内科病</w:t>
            </w:r>
          </w:p>
        </w:tc>
        <w:tc>
          <w:tcPr>
            <w:tcW w:w="975" w:type="dxa"/>
            <w:tcBorders>
              <w:top w:val="single" w:color="auto" w:sz="4" w:space="0"/>
              <w:left w:val="single" w:color="auto" w:sz="4" w:space="0"/>
              <w:bottom w:val="single" w:color="auto" w:sz="4" w:space="0"/>
              <w:right w:val="single" w:color="auto" w:sz="4" w:space="0"/>
            </w:tcBorders>
            <w:vAlign w:val="center"/>
          </w:tcPr>
          <w:p w14:paraId="0B923C1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shd w:val="clear" w:color="auto" w:fill="auto"/>
            <w:vAlign w:val="center"/>
          </w:tcPr>
          <w:p w14:paraId="71282447">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Arial Unicode MS"/>
                <w:color w:val="auto"/>
                <w:kern w:val="0"/>
                <w:sz w:val="21"/>
                <w:szCs w:val="21"/>
                <w:lang w:val="en-US" w:eastAsia="zh-CN" w:bidi="ar-SA"/>
              </w:rPr>
              <w:t>xcxm24014</w:t>
            </w:r>
          </w:p>
        </w:tc>
      </w:tr>
      <w:tr w14:paraId="4529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D36172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0DB900A">
            <w:pPr>
              <w:jc w:val="center"/>
              <w:rPr>
                <w:rFonts w:hint="default" w:eastAsiaTheme="minorEastAsia"/>
                <w:lang w:val="en-US" w:eastAsia="zh-CN"/>
              </w:rPr>
            </w:pPr>
            <w:r>
              <w:rPr>
                <w:rFonts w:hint="eastAsia"/>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6AEA627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5CAB70F">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74B3D66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EBF030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3238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AD77AF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E6FCEB4">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5AED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147AB0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3E4B7C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0AE83B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348370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714EAD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DB4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F56178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1C970FB">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动物解剖学、动物生理学、动物病理学、动物药理学</w:t>
            </w:r>
          </w:p>
        </w:tc>
      </w:tr>
      <w:tr w14:paraId="1B6C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ECCE42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69D5FC6">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lang w:val="en-US" w:eastAsia="zh-CN"/>
              </w:rPr>
              <w:t>动物传染病学、动物外科及产科</w:t>
            </w:r>
          </w:p>
        </w:tc>
      </w:tr>
      <w:tr w14:paraId="47E1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57480B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83CF94E">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兽医内科学</w:t>
            </w:r>
            <w:r>
              <w:rPr>
                <w:rFonts w:ascii="Arial" w:hAnsi="Arial" w:eastAsia="宋体" w:cs="Arial"/>
              </w:rPr>
              <w:t>》（</w:t>
            </w:r>
            <w:r>
              <w:rPr>
                <w:rFonts w:hint="eastAsia" w:ascii="Arial" w:hAnsi="Arial" w:eastAsia="宋体" w:cs="Arial"/>
                <w:lang w:val="en-US" w:eastAsia="zh-CN"/>
              </w:rPr>
              <w:t>作者刘宗平、赵宝玉</w:t>
            </w:r>
            <w:r>
              <w:rPr>
                <w:rFonts w:hint="eastAsia" w:ascii="Arial" w:hAnsi="Arial" w:eastAsia="宋体" w:cs="Arial"/>
              </w:rPr>
              <w:t>，</w:t>
            </w:r>
            <w:r>
              <w:rPr>
                <w:rFonts w:hint="eastAsia" w:ascii="Arial" w:hAnsi="Arial" w:eastAsia="宋体" w:cs="Arial"/>
                <w:lang w:val="en-US" w:eastAsia="zh-CN"/>
              </w:rPr>
              <w:t>中国农业出版社，出版年份2021年1月第1版，ISBN号978-7-109-27723-6</w:t>
            </w:r>
            <w:r>
              <w:rPr>
                <w:rFonts w:ascii="Arial" w:hAnsi="Arial" w:eastAsia="宋体" w:cs="Arial"/>
              </w:rPr>
              <w:t>)</w:t>
            </w:r>
          </w:p>
        </w:tc>
      </w:tr>
      <w:tr w14:paraId="2AFC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3D9FC5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AEA1875">
            <w:pPr>
              <w:widowControl/>
              <w:jc w:val="left"/>
              <w:rPr>
                <w:rFonts w:hint="eastAsia" w:eastAsiaTheme="minorEastAsia"/>
                <w:lang w:val="en-US" w:eastAsia="zh-CN"/>
              </w:rPr>
            </w:pPr>
            <w:r>
              <w:rPr>
                <w:rFonts w:hint="eastAsia"/>
                <w:lang w:val="en-US" w:eastAsia="zh-CN"/>
              </w:rPr>
              <w:t>杨茜雯</w:t>
            </w:r>
          </w:p>
        </w:tc>
        <w:tc>
          <w:tcPr>
            <w:tcW w:w="975" w:type="dxa"/>
            <w:tcBorders>
              <w:top w:val="single" w:color="auto" w:sz="4" w:space="0"/>
              <w:left w:val="single" w:color="auto" w:sz="4" w:space="0"/>
              <w:bottom w:val="single" w:color="auto" w:sz="4" w:space="0"/>
              <w:right w:val="single" w:color="auto" w:sz="4" w:space="0"/>
            </w:tcBorders>
            <w:vAlign w:val="center"/>
          </w:tcPr>
          <w:p w14:paraId="7583D59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533C71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746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C668B1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8265F56">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707B96E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34F104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7FB0AD9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7061F56">
      <w:pPr>
        <w:pStyle w:val="3"/>
        <w:bidi w:val="0"/>
        <w:rPr>
          <w:rFonts w:hint="eastAsia"/>
          <w:lang w:val="en-US" w:eastAsia="zh-CN"/>
        </w:rPr>
      </w:pPr>
      <w:r>
        <w:rPr>
          <w:rFonts w:hint="eastAsia"/>
          <w:lang w:val="en-US" w:eastAsia="zh-CN"/>
        </w:rPr>
        <w:t>二、课程定位</w:t>
      </w:r>
    </w:p>
    <w:p w14:paraId="2E8F7F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ascii="宋体" w:hAnsi="宋体" w:eastAsia="宋体" w:cs="宋体"/>
          <w:sz w:val="24"/>
          <w:szCs w:val="24"/>
        </w:rPr>
        <w:t>本课程是畜牧兽医专业必修的核心课程，是在动物解剖学、生理学等基础课程上开设的理实一体化课程。课程对接动物疾病诊疗、畜牧养殖技术服务、宠物医疗护理等岗位，培养学生具备动物内科疾病诊断、治疗及预防的职业素质与核心能力，为后续临床相关课程学习和职业岗位实践奠定坚实基础。同时，将课程思政深度融入教学全过程，助力学生树立正确的职业观、价值观和家国情怀。</w:t>
      </w:r>
    </w:p>
    <w:p w14:paraId="49CFD0E9">
      <w:pPr>
        <w:pStyle w:val="3"/>
        <w:bidi w:val="0"/>
        <w:rPr>
          <w:rFonts w:hint="eastAsia"/>
          <w:lang w:val="en-US" w:eastAsia="zh-CN"/>
        </w:rPr>
      </w:pPr>
      <w:r>
        <w:rPr>
          <w:rFonts w:hint="eastAsia"/>
          <w:lang w:val="en-US" w:eastAsia="zh-CN"/>
        </w:rPr>
        <w:t>三、课程设计思路</w:t>
      </w:r>
    </w:p>
    <w:p w14:paraId="2C71C9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szCs w:val="24"/>
        </w:rPr>
      </w:pPr>
      <w:r>
        <w:rPr>
          <w:rFonts w:hint="eastAsia" w:asciiTheme="minorEastAsia" w:hAnsiTheme="minorEastAsia" w:eastAsiaTheme="minorEastAsia" w:cstheme="minorEastAsia"/>
          <w:sz w:val="24"/>
          <w:szCs w:val="24"/>
          <w:lang w:val="en-US" w:eastAsia="zh-CN"/>
        </w:rPr>
        <w:t>根据人才培养方案及相关教材确定教学内容</w:t>
      </w:r>
      <w:r>
        <w:rPr>
          <w:rFonts w:hint="eastAsia" w:asciiTheme="minorEastAsia" w:hAnsiTheme="minorEastAsia" w:cstheme="minorEastAsia"/>
          <w:sz w:val="24"/>
          <w:szCs w:val="24"/>
          <w:lang w:val="en-US" w:eastAsia="zh-CN"/>
        </w:rPr>
        <w:t>，</w:t>
      </w:r>
      <w:r>
        <w:rPr>
          <w:rFonts w:ascii="宋体" w:hAnsi="宋体" w:eastAsia="宋体" w:cs="宋体"/>
          <w:sz w:val="24"/>
          <w:szCs w:val="24"/>
        </w:rPr>
        <w:t>对接动物疫病防治员、宠物医师等职业岗位核心需求，以动物内科疾病诊疗工作流程为主线设计教学内容。先以临床真实病例为锚点，拆解动物内科疾病诊疗</w:t>
      </w:r>
      <w:r>
        <w:rPr>
          <w:rFonts w:hint="eastAsia" w:ascii="宋体" w:hAnsi="宋体" w:eastAsia="宋体" w:cs="宋体"/>
          <w:sz w:val="24"/>
          <w:szCs w:val="24"/>
          <w:lang w:val="en-US" w:eastAsia="zh-CN"/>
        </w:rPr>
        <w:t>-</w:t>
      </w:r>
      <w:r>
        <w:rPr>
          <w:rFonts w:ascii="宋体" w:hAnsi="宋体" w:eastAsia="宋体" w:cs="宋体"/>
          <w:sz w:val="24"/>
          <w:szCs w:val="24"/>
        </w:rPr>
        <w:t>“问诊</w:t>
      </w:r>
      <w:r>
        <w:rPr>
          <w:rFonts w:hint="eastAsia" w:ascii="宋体" w:hAnsi="宋体" w:eastAsia="宋体" w:cs="宋体"/>
          <w:sz w:val="24"/>
          <w:szCs w:val="24"/>
          <w:lang w:val="en-US" w:eastAsia="zh-CN"/>
        </w:rPr>
        <w:t>-</w:t>
      </w:r>
      <w:r>
        <w:rPr>
          <w:rFonts w:ascii="宋体" w:hAnsi="宋体" w:eastAsia="宋体" w:cs="宋体"/>
          <w:sz w:val="24"/>
          <w:szCs w:val="24"/>
        </w:rPr>
        <w:t>检查</w:t>
      </w:r>
      <w:r>
        <w:rPr>
          <w:rFonts w:hint="eastAsia" w:ascii="宋体" w:hAnsi="宋体" w:eastAsia="宋体" w:cs="宋体"/>
          <w:sz w:val="24"/>
          <w:szCs w:val="24"/>
          <w:lang w:val="en-US" w:eastAsia="zh-CN"/>
        </w:rPr>
        <w:t>-</w:t>
      </w:r>
      <w:r>
        <w:rPr>
          <w:rFonts w:ascii="宋体" w:hAnsi="宋体" w:eastAsia="宋体" w:cs="宋体"/>
          <w:sz w:val="24"/>
          <w:szCs w:val="24"/>
        </w:rPr>
        <w:t>诊断</w:t>
      </w:r>
      <w:r>
        <w:rPr>
          <w:rFonts w:hint="eastAsia" w:ascii="宋体" w:hAnsi="宋体" w:eastAsia="宋体" w:cs="宋体"/>
          <w:sz w:val="24"/>
          <w:szCs w:val="24"/>
          <w:lang w:val="en-US" w:eastAsia="zh-CN"/>
        </w:rPr>
        <w:t>-</w:t>
      </w:r>
      <w:r>
        <w:rPr>
          <w:rFonts w:ascii="宋体" w:hAnsi="宋体" w:eastAsia="宋体" w:cs="宋体"/>
          <w:sz w:val="24"/>
          <w:szCs w:val="24"/>
        </w:rPr>
        <w:t>治疗</w:t>
      </w:r>
      <w:r>
        <w:rPr>
          <w:rFonts w:hint="eastAsia" w:ascii="宋体" w:hAnsi="宋体" w:eastAsia="宋体" w:cs="宋体"/>
          <w:sz w:val="24"/>
          <w:szCs w:val="24"/>
          <w:lang w:val="en-US" w:eastAsia="zh-CN"/>
        </w:rPr>
        <w:t>-</w:t>
      </w:r>
      <w:r>
        <w:rPr>
          <w:rFonts w:ascii="宋体" w:hAnsi="宋体" w:eastAsia="宋体" w:cs="宋体"/>
          <w:sz w:val="24"/>
          <w:szCs w:val="24"/>
        </w:rPr>
        <w:t>防控”</w:t>
      </w:r>
      <w:r>
        <w:rPr>
          <w:rFonts w:hint="eastAsia" w:ascii="宋体" w:hAnsi="宋体" w:eastAsia="宋体" w:cs="宋体"/>
          <w:sz w:val="24"/>
          <w:szCs w:val="24"/>
          <w:lang w:val="en-US" w:eastAsia="zh-CN"/>
        </w:rPr>
        <w:t>-</w:t>
      </w:r>
      <w:r>
        <w:rPr>
          <w:rFonts w:ascii="宋体" w:hAnsi="宋体" w:eastAsia="宋体" w:cs="宋体"/>
          <w:sz w:val="24"/>
          <w:szCs w:val="24"/>
        </w:rPr>
        <w:t>工作流程，提炼核心知识与技能模块</w:t>
      </w:r>
      <w:r>
        <w:rPr>
          <w:rFonts w:hint="eastAsia" w:ascii="宋体" w:hAnsi="宋体" w:eastAsia="宋体" w:cs="宋体"/>
          <w:sz w:val="24"/>
          <w:szCs w:val="24"/>
          <w:lang w:eastAsia="zh-CN"/>
        </w:rPr>
        <w:t>；</w:t>
      </w:r>
      <w:r>
        <w:rPr>
          <w:rFonts w:ascii="宋体" w:hAnsi="宋体" w:eastAsia="宋体" w:cs="宋体"/>
          <w:sz w:val="24"/>
          <w:szCs w:val="24"/>
        </w:rPr>
        <w:t>再强化临床诊断、治疗方案制定、病例分析等实践技能</w:t>
      </w:r>
      <w:r>
        <w:rPr>
          <w:rFonts w:hint="eastAsia" w:ascii="宋体" w:hAnsi="宋体" w:eastAsia="宋体" w:cs="宋体"/>
          <w:sz w:val="24"/>
          <w:szCs w:val="24"/>
          <w:lang w:eastAsia="zh-CN"/>
        </w:rPr>
        <w:t>；</w:t>
      </w:r>
      <w:r>
        <w:rPr>
          <w:rFonts w:ascii="宋体" w:hAnsi="宋体" w:eastAsia="宋体" w:cs="宋体"/>
          <w:sz w:val="24"/>
          <w:szCs w:val="24"/>
        </w:rPr>
        <w:t>最后融入行业新技术、</w:t>
      </w:r>
      <w:r>
        <w:rPr>
          <w:rFonts w:hint="eastAsia" w:ascii="宋体" w:hAnsi="宋体" w:eastAsia="宋体" w:cs="宋体"/>
          <w:sz w:val="24"/>
          <w:szCs w:val="24"/>
          <w:lang w:val="en-US" w:eastAsia="zh-CN"/>
        </w:rPr>
        <w:t>执业兽医资格证</w:t>
      </w:r>
      <w:r>
        <w:rPr>
          <w:rFonts w:ascii="宋体" w:hAnsi="宋体" w:eastAsia="宋体" w:cs="宋体"/>
          <w:sz w:val="24"/>
          <w:szCs w:val="24"/>
        </w:rPr>
        <w:t>证书标准及职业技能大赛要求。</w:t>
      </w:r>
    </w:p>
    <w:p w14:paraId="482821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szCs w:val="24"/>
        </w:rPr>
      </w:pPr>
      <w:r>
        <w:rPr>
          <w:rFonts w:ascii="宋体" w:hAnsi="宋体" w:eastAsia="宋体" w:cs="宋体"/>
          <w:sz w:val="24"/>
          <w:szCs w:val="24"/>
        </w:rPr>
        <w:t>教学形式采用线上</w:t>
      </w:r>
      <w:r>
        <w:rPr>
          <w:rFonts w:hint="eastAsia" w:ascii="宋体" w:hAnsi="宋体" w:eastAsia="宋体" w:cs="宋体"/>
          <w:sz w:val="24"/>
          <w:szCs w:val="24"/>
          <w:lang w:eastAsia="zh-CN"/>
        </w:rPr>
        <w:t>、</w:t>
      </w:r>
      <w:r>
        <w:rPr>
          <w:rFonts w:ascii="宋体" w:hAnsi="宋体" w:eastAsia="宋体" w:cs="宋体"/>
          <w:sz w:val="24"/>
          <w:szCs w:val="24"/>
        </w:rPr>
        <w:t>线下混合式教学，理论部分通过多媒体、案例研讨、线上答疑开展，实践部分依托校内实训</w:t>
      </w:r>
      <w:r>
        <w:rPr>
          <w:rFonts w:hint="eastAsia" w:ascii="宋体" w:hAnsi="宋体" w:eastAsia="宋体" w:cs="宋体"/>
          <w:sz w:val="24"/>
          <w:szCs w:val="24"/>
          <w:lang w:val="en-US" w:eastAsia="zh-CN"/>
        </w:rPr>
        <w:t>室</w:t>
      </w:r>
      <w:r>
        <w:rPr>
          <w:rFonts w:ascii="宋体" w:hAnsi="宋体" w:eastAsia="宋体" w:cs="宋体"/>
          <w:sz w:val="24"/>
          <w:szCs w:val="24"/>
        </w:rPr>
        <w:t>。通过定期</w:t>
      </w:r>
      <w:r>
        <w:rPr>
          <w:rFonts w:hint="eastAsia" w:ascii="宋体" w:hAnsi="宋体" w:eastAsia="宋体" w:cs="宋体"/>
          <w:sz w:val="24"/>
          <w:szCs w:val="24"/>
          <w:lang w:val="en-US" w:eastAsia="zh-CN"/>
        </w:rPr>
        <w:t>考核</w:t>
      </w:r>
      <w:r>
        <w:rPr>
          <w:rFonts w:ascii="宋体" w:hAnsi="宋体" w:eastAsia="宋体" w:cs="宋体"/>
          <w:sz w:val="24"/>
          <w:szCs w:val="24"/>
        </w:rPr>
        <w:t>反馈、学生学习效果数据，持续优化教学内容与方法，最终实现 “以岗定学、以赛促练、以证提质、以德树人” 的培养目标，培育适应现代畜牧业发展的高素质技术技能人才。</w:t>
      </w:r>
    </w:p>
    <w:p w14:paraId="15C1E258">
      <w:pPr>
        <w:pStyle w:val="3"/>
        <w:bidi w:val="0"/>
        <w:rPr>
          <w:rFonts w:hint="eastAsia"/>
          <w:lang w:val="en-US" w:eastAsia="zh-CN"/>
        </w:rPr>
      </w:pPr>
      <w:r>
        <w:rPr>
          <w:rFonts w:hint="eastAsia"/>
          <w:lang w:val="en-US" w:eastAsia="zh-CN"/>
        </w:rPr>
        <w:t>四、课程目标</w:t>
      </w:r>
    </w:p>
    <w:p w14:paraId="7E5CBC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4AEE10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熟悉常见动物（牛、羊、犬、猫等）内科疾病的病因、发病机制及流行特点</w:t>
      </w:r>
    </w:p>
    <w:p w14:paraId="53CAFD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掌握动物内科疾病的临床症状、诊断方法（问诊、视诊、触诊等）及鉴别诊断要点</w:t>
      </w:r>
      <w:r>
        <w:rPr>
          <w:rFonts w:hint="eastAsia" w:asciiTheme="minorEastAsia" w:hAnsiTheme="minorEastAsia" w:cstheme="minorEastAsia"/>
          <w:sz w:val="24"/>
          <w:szCs w:val="24"/>
          <w:lang w:eastAsia="zh-CN"/>
        </w:rPr>
        <w:t>。</w:t>
      </w:r>
    </w:p>
    <w:p w14:paraId="419ED2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掌握各类动物内科疾病的治疗原则、常用药物及给药方法</w:t>
      </w:r>
      <w:r>
        <w:rPr>
          <w:rFonts w:hint="eastAsia" w:asciiTheme="minorEastAsia" w:hAnsiTheme="minorEastAsia" w:cstheme="minorEastAsia"/>
          <w:sz w:val="24"/>
          <w:szCs w:val="24"/>
          <w:lang w:eastAsia="zh-CN"/>
        </w:rPr>
        <w:t>。</w:t>
      </w:r>
    </w:p>
    <w:p w14:paraId="11593B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熟悉动物内科疾病的预防措施及群体防控策略</w:t>
      </w:r>
      <w:r>
        <w:rPr>
          <w:rFonts w:hint="eastAsia" w:asciiTheme="minorEastAsia" w:hAnsiTheme="minorEastAsia" w:cstheme="minorEastAsia"/>
          <w:sz w:val="24"/>
          <w:szCs w:val="24"/>
          <w:lang w:eastAsia="zh-CN"/>
        </w:rPr>
        <w:t>。</w:t>
      </w:r>
    </w:p>
    <w:p w14:paraId="68D74A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能说出动物内科常见急症的急救流程及关键处置要点。</w:t>
      </w:r>
    </w:p>
    <w:p w14:paraId="7C90AD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4DB49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精通动物内科疾病的临床检查操作，能规范完成问诊、视诊等综合检查并记录</w:t>
      </w:r>
      <w:r>
        <w:rPr>
          <w:rFonts w:hint="eastAsia" w:asciiTheme="minorEastAsia" w:hAnsiTheme="minorEastAsia" w:cstheme="minorEastAsia"/>
          <w:sz w:val="24"/>
          <w:szCs w:val="24"/>
          <w:lang w:eastAsia="zh-CN"/>
        </w:rPr>
        <w:t>。</w:t>
      </w:r>
    </w:p>
    <w:p w14:paraId="70C663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善用临床症状和检查结果，对常见内科疾病进行精准诊断与鉴别诊断</w:t>
      </w:r>
      <w:r>
        <w:rPr>
          <w:rFonts w:hint="eastAsia" w:asciiTheme="minorEastAsia" w:hAnsiTheme="minorEastAsia" w:cstheme="minorEastAsia"/>
          <w:sz w:val="24"/>
          <w:szCs w:val="24"/>
          <w:lang w:eastAsia="zh-CN"/>
        </w:rPr>
        <w:t>。</w:t>
      </w:r>
    </w:p>
    <w:p w14:paraId="238F1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能独立制定科学合理的疾病治疗方案</w:t>
      </w:r>
      <w:r>
        <w:rPr>
          <w:rFonts w:hint="eastAsia" w:asciiTheme="minorEastAsia" w:hAnsiTheme="minorEastAsia" w:cstheme="minorEastAsia"/>
          <w:sz w:val="24"/>
          <w:szCs w:val="24"/>
          <w:lang w:eastAsia="zh-CN"/>
        </w:rPr>
        <w:t>。</w:t>
      </w:r>
    </w:p>
    <w:p w14:paraId="52469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具备分析复杂内科病例的能力，能排查诊疗过程中的常见问题并优化方案</w:t>
      </w:r>
      <w:r>
        <w:rPr>
          <w:rFonts w:hint="eastAsia" w:asciiTheme="minorEastAsia" w:hAnsiTheme="minorEastAsia" w:cstheme="minorEastAsia"/>
          <w:sz w:val="24"/>
          <w:szCs w:val="24"/>
          <w:lang w:eastAsia="zh-CN"/>
        </w:rPr>
        <w:t>。</w:t>
      </w:r>
    </w:p>
    <w:p w14:paraId="44DC32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具备对养殖从业者进行内科疾病预防知识宣讲和技术指导的能力。</w:t>
      </w:r>
    </w:p>
    <w:p w14:paraId="309A00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B48A1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1.培养学生尊重生命、关爱动物的职业情怀，践行人道主义精神</w:t>
      </w:r>
      <w:r>
        <w:rPr>
          <w:rFonts w:hint="eastAsia" w:asciiTheme="minorEastAsia" w:hAnsiTheme="minorEastAsia" w:cstheme="minorEastAsia"/>
          <w:sz w:val="24"/>
          <w:szCs w:val="24"/>
          <w:lang w:val="en-US" w:eastAsia="zh-CN"/>
        </w:rPr>
        <w:t>。</w:t>
      </w:r>
    </w:p>
    <w:p w14:paraId="6BA3E6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培养学生团队协作意识，能与同行、养殖人员有效沟通配合完成诊疗工作</w:t>
      </w:r>
      <w:r>
        <w:rPr>
          <w:rFonts w:hint="eastAsia" w:asciiTheme="minorEastAsia" w:hAnsiTheme="minorEastAsia" w:cstheme="minorEastAsia"/>
          <w:sz w:val="24"/>
          <w:szCs w:val="24"/>
          <w:lang w:val="en-US" w:eastAsia="zh-CN"/>
        </w:rPr>
        <w:t>。</w:t>
      </w:r>
    </w:p>
    <w:p w14:paraId="66A086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培养学生持续学习能力，主动关注行业新技术、新成果并应用于实践</w:t>
      </w:r>
      <w:r>
        <w:rPr>
          <w:rFonts w:hint="eastAsia" w:asciiTheme="minorEastAsia" w:hAnsiTheme="minorEastAsia" w:cstheme="minorEastAsia"/>
          <w:sz w:val="24"/>
          <w:szCs w:val="24"/>
          <w:lang w:val="en-US" w:eastAsia="zh-CN"/>
        </w:rPr>
        <w:t>。</w:t>
      </w:r>
    </w:p>
    <w:p w14:paraId="222CA4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培养学生应急处置能力，面对动物内科急症能冷静规范开展急救工作</w:t>
      </w:r>
      <w:r>
        <w:rPr>
          <w:rFonts w:hint="eastAsia" w:asciiTheme="minorEastAsia" w:hAnsiTheme="minorEastAsia" w:cstheme="minorEastAsia"/>
          <w:sz w:val="24"/>
          <w:szCs w:val="24"/>
          <w:lang w:val="en-US" w:eastAsia="zh-CN"/>
        </w:rPr>
        <w:t>。</w:t>
      </w:r>
    </w:p>
    <w:p w14:paraId="6BE745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培养学生环保意识，在诊疗和实训中规范处理医疗废弃物，践行绿色养殖理念。</w:t>
      </w:r>
    </w:p>
    <w:p w14:paraId="6EA41C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7523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职业道德：树立“爱岗敬业、诚信诊疗、关爱动物”的职业理念，遵守兽医行业职业道德规范和诊疗操作准则</w:t>
      </w:r>
      <w:r>
        <w:rPr>
          <w:rFonts w:hint="eastAsia" w:asciiTheme="minorEastAsia" w:hAnsiTheme="minorEastAsia" w:cstheme="minorEastAsia"/>
          <w:sz w:val="24"/>
          <w:szCs w:val="24"/>
          <w:lang w:eastAsia="zh-CN"/>
        </w:rPr>
        <w:t>。</w:t>
      </w:r>
    </w:p>
    <w:p w14:paraId="4DF73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工匠精神：培育“精益求精、严谨务实、执着专注”的工匠精神，杜绝诊疗中的敷衍了事、投机取巧行为</w:t>
      </w:r>
      <w:r>
        <w:rPr>
          <w:rFonts w:hint="eastAsia" w:asciiTheme="minorEastAsia" w:hAnsiTheme="minorEastAsia" w:cstheme="minorEastAsia"/>
          <w:sz w:val="24"/>
          <w:szCs w:val="24"/>
          <w:lang w:eastAsia="zh-CN"/>
        </w:rPr>
        <w:t>。</w:t>
      </w:r>
    </w:p>
    <w:p w14:paraId="329328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法治意识：增强法治观念，自觉遵守《动物防疫法》《兽药管理条例》等相关法律法规，做到依法从业、合规诊疗</w:t>
      </w:r>
      <w:r>
        <w:rPr>
          <w:rFonts w:hint="eastAsia" w:asciiTheme="minorEastAsia" w:hAnsiTheme="minorEastAsia" w:cstheme="minorEastAsia"/>
          <w:sz w:val="24"/>
          <w:szCs w:val="24"/>
          <w:lang w:eastAsia="zh-CN"/>
        </w:rPr>
        <w:t>。</w:t>
      </w:r>
    </w:p>
    <w:p w14:paraId="37307A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社会责任：强化“守护动物健康、保障食品安全、助力畜牧产业发展”的责任担当，理解专业在乡村振兴、公共卫生安全中的作用</w:t>
      </w:r>
      <w:r>
        <w:rPr>
          <w:rFonts w:hint="eastAsia" w:asciiTheme="minorEastAsia" w:hAnsiTheme="minorEastAsia" w:cstheme="minorEastAsia"/>
          <w:sz w:val="24"/>
          <w:szCs w:val="24"/>
          <w:lang w:eastAsia="zh-CN"/>
        </w:rPr>
        <w:t>。</w:t>
      </w:r>
    </w:p>
    <w:p w14:paraId="578F4F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家国情怀：结合我国畜牧兽医行业发展成就、疫病防控典型案例，激发民族自豪感，培养“强农兴牧、为国奉献”的使命意识</w:t>
      </w:r>
      <w:r>
        <w:rPr>
          <w:rFonts w:hint="eastAsia" w:asciiTheme="minorEastAsia" w:hAnsiTheme="minorEastAsia" w:cstheme="minorEastAsia"/>
          <w:sz w:val="24"/>
          <w:szCs w:val="24"/>
          <w:lang w:eastAsia="zh-CN"/>
        </w:rPr>
        <w:t>。</w:t>
      </w:r>
    </w:p>
    <w:p w14:paraId="0CF44112">
      <w:pPr>
        <w:pStyle w:val="3"/>
        <w:bidi w:val="0"/>
        <w:rPr>
          <w:rFonts w:hint="eastAsia"/>
          <w:lang w:val="en-US" w:eastAsia="zh-CN"/>
        </w:rPr>
      </w:pPr>
      <w:r>
        <w:rPr>
          <w:rFonts w:hint="eastAsia"/>
          <w:lang w:val="en-US" w:eastAsia="zh-CN"/>
        </w:rPr>
        <w:t>五、课程内容和要求</w:t>
      </w:r>
    </w:p>
    <w:p w14:paraId="60433BA5">
      <w:pPr>
        <w:rPr>
          <w:rFonts w:hint="eastAsia"/>
          <w:lang w:val="en-US" w:eastAsia="zh-CN"/>
        </w:rPr>
      </w:pPr>
      <w:r>
        <w:rPr>
          <w:rFonts w:hint="eastAsia"/>
          <w:lang w:val="en-US" w:eastAsia="zh-CN"/>
        </w:rPr>
        <w:br w:type="page"/>
      </w:r>
    </w:p>
    <w:p w14:paraId="7FB18525">
      <w:pPr>
        <w:rPr>
          <w:rFonts w:hint="eastAsia"/>
          <w:lang w:val="en-US" w:eastAsia="zh-CN"/>
        </w:rPr>
      </w:pP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736"/>
        <w:gridCol w:w="2026"/>
        <w:gridCol w:w="2026"/>
        <w:gridCol w:w="1320"/>
        <w:gridCol w:w="1078"/>
      </w:tblGrid>
      <w:tr w14:paraId="2A28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4" w:type="pct"/>
            <w:vAlign w:val="center"/>
          </w:tcPr>
          <w:p w14:paraId="090B0F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881" w:type="pct"/>
            <w:vAlign w:val="center"/>
          </w:tcPr>
          <w:p w14:paraId="2C2367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028" w:type="pct"/>
            <w:vAlign w:val="center"/>
          </w:tcPr>
          <w:p w14:paraId="3045AE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28" w:type="pct"/>
            <w:vAlign w:val="center"/>
          </w:tcPr>
          <w:p w14:paraId="14152C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70" w:type="pct"/>
            <w:vAlign w:val="center"/>
          </w:tcPr>
          <w:p w14:paraId="157EA4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47" w:type="pct"/>
            <w:vAlign w:val="center"/>
          </w:tcPr>
          <w:p w14:paraId="286D4C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8AA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5525E1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第一章 动物内科学绪论</w:t>
            </w:r>
          </w:p>
        </w:tc>
        <w:tc>
          <w:tcPr>
            <w:tcW w:w="881" w:type="pct"/>
            <w:vAlign w:val="center"/>
          </w:tcPr>
          <w:p w14:paraId="76A4F36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1.动物内科学的定义、范畴与发展</w:t>
            </w:r>
          </w:p>
          <w:p w14:paraId="3A82A1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2.课程学习要求与职业岗位对接</w:t>
            </w:r>
          </w:p>
        </w:tc>
        <w:tc>
          <w:tcPr>
            <w:tcW w:w="1028" w:type="pct"/>
            <w:vAlign w:val="center"/>
          </w:tcPr>
          <w:p w14:paraId="4C61062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1.动物内科学的学科定位、发展历程及行业趋势</w:t>
            </w:r>
          </w:p>
          <w:p w14:paraId="52A5DF2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2.职业岗位对动物内科诊疗能力的要求</w:t>
            </w:r>
          </w:p>
          <w:p w14:paraId="69A54E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3.课程学习方法与考核标准</w:t>
            </w:r>
          </w:p>
        </w:tc>
        <w:tc>
          <w:tcPr>
            <w:tcW w:w="1028" w:type="pct"/>
            <w:vAlign w:val="center"/>
          </w:tcPr>
          <w:p w14:paraId="3FC6E47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1.能阐述动物内科学与临床岗位的关联</w:t>
            </w:r>
          </w:p>
          <w:p w14:paraId="5977BB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2.能制定个人课程学习计划</w:t>
            </w:r>
          </w:p>
        </w:tc>
        <w:tc>
          <w:tcPr>
            <w:tcW w:w="670" w:type="pct"/>
            <w:vAlign w:val="center"/>
          </w:tcPr>
          <w:p w14:paraId="66DD791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家国情怀</w:t>
            </w:r>
          </w:p>
          <w:p w14:paraId="7A2F2D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1"/>
                <w:szCs w:val="21"/>
                <w:lang w:val="en-US" w:eastAsia="zh-CN"/>
              </w:rPr>
            </w:pPr>
            <w:r>
              <w:rPr>
                <w:rFonts w:ascii="宋体" w:hAnsi="宋体" w:eastAsia="宋体" w:cs="宋体"/>
                <w:sz w:val="21"/>
                <w:szCs w:val="21"/>
              </w:rPr>
              <w:t>职业规划</w:t>
            </w:r>
          </w:p>
        </w:tc>
        <w:tc>
          <w:tcPr>
            <w:tcW w:w="547" w:type="pct"/>
            <w:vAlign w:val="center"/>
          </w:tcPr>
          <w:p w14:paraId="39E6D9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24F2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34B235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第二章 消化系统疾病</w:t>
            </w:r>
          </w:p>
        </w:tc>
        <w:tc>
          <w:tcPr>
            <w:tcW w:w="881" w:type="pct"/>
            <w:vAlign w:val="center"/>
          </w:tcPr>
          <w:p w14:paraId="0B48BB7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1.口腔、食管疾病</w:t>
            </w:r>
          </w:p>
          <w:p w14:paraId="1D82DB7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2.胃</w:t>
            </w:r>
            <w:r>
              <w:rPr>
                <w:rFonts w:hint="eastAsia" w:ascii="宋体" w:hAnsi="宋体" w:eastAsia="宋体" w:cs="宋体"/>
                <w:sz w:val="21"/>
                <w:szCs w:val="21"/>
                <w:lang w:val="en-US" w:eastAsia="zh-CN"/>
              </w:rPr>
              <w:t>肠疾</w:t>
            </w:r>
            <w:r>
              <w:rPr>
                <w:rFonts w:ascii="宋体" w:hAnsi="宋体" w:eastAsia="宋体" w:cs="宋体"/>
                <w:sz w:val="21"/>
                <w:szCs w:val="21"/>
              </w:rPr>
              <w:t>病</w:t>
            </w:r>
          </w:p>
          <w:p w14:paraId="52F5108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3.肝胆</w:t>
            </w:r>
            <w:r>
              <w:rPr>
                <w:rFonts w:hint="eastAsia" w:ascii="宋体" w:hAnsi="宋体" w:eastAsia="宋体" w:cs="宋体"/>
                <w:sz w:val="21"/>
                <w:szCs w:val="21"/>
                <w:lang w:val="en-US" w:eastAsia="zh-CN"/>
              </w:rPr>
              <w:t>胰</w:t>
            </w:r>
            <w:r>
              <w:rPr>
                <w:rFonts w:ascii="宋体" w:hAnsi="宋体" w:eastAsia="宋体" w:cs="宋体"/>
                <w:sz w:val="21"/>
                <w:szCs w:val="21"/>
              </w:rPr>
              <w:t>疾病诊疗</w:t>
            </w:r>
          </w:p>
          <w:p w14:paraId="43ACC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4.腹膜疾病</w:t>
            </w:r>
          </w:p>
        </w:tc>
        <w:tc>
          <w:tcPr>
            <w:tcW w:w="1028" w:type="pct"/>
            <w:vAlign w:val="center"/>
          </w:tcPr>
          <w:p w14:paraId="7837C3A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1.各类消化系统疾病的病因、病理机制</w:t>
            </w:r>
          </w:p>
          <w:p w14:paraId="38E1988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2.典型症状与临床特征</w:t>
            </w:r>
          </w:p>
          <w:p w14:paraId="0C8D3DA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3.诊断方法与鉴别要点</w:t>
            </w:r>
          </w:p>
          <w:p w14:paraId="2D594C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4.治疗原则与常用药物</w:t>
            </w:r>
          </w:p>
        </w:tc>
        <w:tc>
          <w:tcPr>
            <w:tcW w:w="1028" w:type="pct"/>
            <w:vAlign w:val="center"/>
          </w:tcPr>
          <w:p w14:paraId="3DA1CB1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1.能规范进行消化系统临床检查</w:t>
            </w:r>
          </w:p>
          <w:p w14:paraId="0DB6704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2.能鉴别常见胃肠疾病并制定治疗方案</w:t>
            </w:r>
          </w:p>
          <w:p w14:paraId="3D97767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3.能规范实施胃肠减压、补液等操作</w:t>
            </w:r>
          </w:p>
          <w:p w14:paraId="6F6FF5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4.能指导养殖人员优化饲养管理</w:t>
            </w:r>
          </w:p>
        </w:tc>
        <w:tc>
          <w:tcPr>
            <w:tcW w:w="670" w:type="pct"/>
            <w:vAlign w:val="center"/>
          </w:tcPr>
          <w:p w14:paraId="302A6AE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职业道德</w:t>
            </w:r>
          </w:p>
          <w:p w14:paraId="0556BCC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313F9B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法治意识</w:t>
            </w:r>
          </w:p>
        </w:tc>
        <w:tc>
          <w:tcPr>
            <w:tcW w:w="547" w:type="pct"/>
            <w:vAlign w:val="center"/>
          </w:tcPr>
          <w:p w14:paraId="7FA028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12</w:t>
            </w:r>
          </w:p>
        </w:tc>
      </w:tr>
      <w:tr w14:paraId="20FC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6E273A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第三章 呼吸系统疾病</w:t>
            </w:r>
          </w:p>
        </w:tc>
        <w:tc>
          <w:tcPr>
            <w:tcW w:w="881" w:type="pct"/>
            <w:vAlign w:val="center"/>
          </w:tcPr>
          <w:p w14:paraId="3F8F20A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1.上呼吸道疾病</w:t>
            </w:r>
          </w:p>
          <w:p w14:paraId="2A2B7F3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2.支气管、肺部疾病</w:t>
            </w:r>
          </w:p>
          <w:p w14:paraId="25282C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3.胸膜疾病</w:t>
            </w:r>
          </w:p>
        </w:tc>
        <w:tc>
          <w:tcPr>
            <w:tcW w:w="1028" w:type="pct"/>
            <w:vAlign w:val="center"/>
          </w:tcPr>
          <w:p w14:paraId="3C4EA1E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1.呼吸系统疾病的病因与发病机制</w:t>
            </w:r>
          </w:p>
          <w:p w14:paraId="48850A0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2.临床症状、病理变化与诊断依据</w:t>
            </w:r>
          </w:p>
          <w:p w14:paraId="4F3FB69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3.治疗原则、药物选择与对症治疗</w:t>
            </w:r>
          </w:p>
          <w:p w14:paraId="05EB7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4.群体防控与环境调控措施</w:t>
            </w:r>
          </w:p>
        </w:tc>
        <w:tc>
          <w:tcPr>
            <w:tcW w:w="1028" w:type="pct"/>
            <w:vAlign w:val="center"/>
          </w:tcPr>
          <w:p w14:paraId="5EDC803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1.能完成呼吸系统视诊、触诊、听诊等检查2.能解读胸部 X 线、血常规等辅助检查结果</w:t>
            </w:r>
          </w:p>
          <w:p w14:paraId="03F304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3.能制定呼吸道感染性疾病的防控方案</w:t>
            </w:r>
          </w:p>
        </w:tc>
        <w:tc>
          <w:tcPr>
            <w:tcW w:w="670" w:type="pct"/>
            <w:vAlign w:val="center"/>
          </w:tcPr>
          <w:p w14:paraId="4EA02F8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职业道德</w:t>
            </w:r>
          </w:p>
          <w:p w14:paraId="37A4EC1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3A234B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创新意识</w:t>
            </w:r>
          </w:p>
        </w:tc>
        <w:tc>
          <w:tcPr>
            <w:tcW w:w="547" w:type="pct"/>
            <w:vAlign w:val="center"/>
          </w:tcPr>
          <w:p w14:paraId="38B3CC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r>
              <w:rPr>
                <w:rFonts w:ascii="宋体" w:hAnsi="宋体" w:eastAsia="宋体" w:cs="宋体"/>
                <w:sz w:val="21"/>
                <w:szCs w:val="21"/>
              </w:rPr>
              <w:t xml:space="preserve"> 实践</w:t>
            </w:r>
            <w:r>
              <w:rPr>
                <w:rFonts w:hint="eastAsia" w:ascii="宋体" w:hAnsi="宋体" w:eastAsia="宋体" w:cs="宋体"/>
                <w:sz w:val="21"/>
                <w:szCs w:val="21"/>
                <w:lang w:val="en-US" w:eastAsia="zh-CN"/>
              </w:rPr>
              <w:t>2</w:t>
            </w:r>
          </w:p>
        </w:tc>
      </w:tr>
      <w:tr w14:paraId="0B6D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297DCB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第四章 心血管系统疾病</w:t>
            </w:r>
          </w:p>
        </w:tc>
        <w:tc>
          <w:tcPr>
            <w:tcW w:w="881" w:type="pct"/>
            <w:vAlign w:val="center"/>
          </w:tcPr>
          <w:p w14:paraId="4FBB7B7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hint="eastAsia" w:ascii="宋体" w:hAnsi="宋体" w:eastAsia="宋体" w:cs="宋体"/>
                <w:sz w:val="21"/>
                <w:szCs w:val="21"/>
                <w:lang w:val="en-US" w:eastAsia="zh-CN"/>
              </w:rPr>
              <w:t>1.</w:t>
            </w:r>
            <w:r>
              <w:rPr>
                <w:rFonts w:ascii="宋体" w:hAnsi="宋体" w:eastAsia="宋体" w:cs="宋体"/>
                <w:sz w:val="21"/>
                <w:szCs w:val="21"/>
              </w:rPr>
              <w:t>心脏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心包</w:t>
            </w:r>
            <w:r>
              <w:rPr>
                <w:rFonts w:ascii="宋体" w:hAnsi="宋体" w:eastAsia="宋体" w:cs="宋体"/>
                <w:sz w:val="21"/>
                <w:szCs w:val="21"/>
              </w:rPr>
              <w:t>疾病</w:t>
            </w:r>
          </w:p>
          <w:p w14:paraId="35A2A5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2.血液</w:t>
            </w:r>
            <w:r>
              <w:rPr>
                <w:rFonts w:hint="eastAsia" w:ascii="宋体" w:hAnsi="宋体" w:eastAsia="宋体" w:cs="宋体"/>
                <w:sz w:val="21"/>
                <w:szCs w:val="21"/>
                <w:lang w:val="en-US" w:eastAsia="zh-CN"/>
              </w:rPr>
              <w:t>及造血器官</w:t>
            </w:r>
            <w:r>
              <w:rPr>
                <w:rFonts w:ascii="宋体" w:hAnsi="宋体" w:eastAsia="宋体" w:cs="宋体"/>
                <w:sz w:val="21"/>
                <w:szCs w:val="21"/>
              </w:rPr>
              <w:t>疾病</w:t>
            </w:r>
          </w:p>
        </w:tc>
        <w:tc>
          <w:tcPr>
            <w:tcW w:w="1028" w:type="pct"/>
            <w:vAlign w:val="center"/>
          </w:tcPr>
          <w:p w14:paraId="6872FC2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1.心血管系统疾病的病因、病理生理变化</w:t>
            </w:r>
          </w:p>
          <w:p w14:paraId="60E1F6B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2.典型症状与体征3.诊断方法与鉴别诊断</w:t>
            </w:r>
          </w:p>
          <w:p w14:paraId="0D9DBE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4.治疗原则与常用药物</w:t>
            </w:r>
          </w:p>
        </w:tc>
        <w:tc>
          <w:tcPr>
            <w:tcW w:w="1028" w:type="pct"/>
            <w:vAlign w:val="center"/>
          </w:tcPr>
          <w:p w14:paraId="1657CED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1.能规范进行心脏听诊、脉搏检查</w:t>
            </w:r>
          </w:p>
          <w:p w14:paraId="3F3BA3E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2.能初步解读心电图基础波形</w:t>
            </w:r>
          </w:p>
          <w:p w14:paraId="6C99DA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3.能制定心脏疾病的对症治疗方案</w:t>
            </w:r>
          </w:p>
        </w:tc>
        <w:tc>
          <w:tcPr>
            <w:tcW w:w="670" w:type="pct"/>
            <w:vAlign w:val="center"/>
          </w:tcPr>
          <w:p w14:paraId="60D913A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6B61F9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严谨细致</w:t>
            </w:r>
          </w:p>
        </w:tc>
        <w:tc>
          <w:tcPr>
            <w:tcW w:w="547" w:type="pct"/>
            <w:vAlign w:val="center"/>
          </w:tcPr>
          <w:p w14:paraId="7A88BF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r>
              <w:rPr>
                <w:rFonts w:ascii="宋体" w:hAnsi="宋体" w:eastAsia="宋体" w:cs="宋体"/>
                <w:sz w:val="21"/>
                <w:szCs w:val="21"/>
              </w:rPr>
              <w:t xml:space="preserve"> 实践</w:t>
            </w:r>
            <w:r>
              <w:rPr>
                <w:rFonts w:hint="eastAsia" w:ascii="宋体" w:hAnsi="宋体" w:eastAsia="宋体" w:cs="宋体"/>
                <w:sz w:val="21"/>
                <w:szCs w:val="21"/>
                <w:lang w:val="en-US" w:eastAsia="zh-CN"/>
              </w:rPr>
              <w:t>2</w:t>
            </w:r>
          </w:p>
        </w:tc>
      </w:tr>
      <w:tr w14:paraId="5B63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5E728A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第五章 泌尿系统疾病</w:t>
            </w:r>
          </w:p>
        </w:tc>
        <w:tc>
          <w:tcPr>
            <w:tcW w:w="881" w:type="pct"/>
            <w:vAlign w:val="center"/>
          </w:tcPr>
          <w:p w14:paraId="484584C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1.肾脏疾病</w:t>
            </w:r>
          </w:p>
          <w:p w14:paraId="1C9E90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w:t>
            </w:r>
            <w:r>
              <w:rPr>
                <w:rFonts w:hint="eastAsia" w:ascii="宋体" w:hAnsi="宋体" w:eastAsia="宋体" w:cs="宋体"/>
                <w:sz w:val="21"/>
                <w:szCs w:val="21"/>
                <w:lang w:val="en-US" w:eastAsia="zh-CN"/>
              </w:rPr>
              <w:t>尿路</w:t>
            </w:r>
            <w:r>
              <w:rPr>
                <w:rFonts w:ascii="宋体" w:hAnsi="宋体" w:eastAsia="宋体" w:cs="宋体"/>
                <w:sz w:val="21"/>
                <w:szCs w:val="21"/>
              </w:rPr>
              <w:t>疾病</w:t>
            </w:r>
          </w:p>
        </w:tc>
        <w:tc>
          <w:tcPr>
            <w:tcW w:w="1028" w:type="pct"/>
            <w:vAlign w:val="center"/>
          </w:tcPr>
          <w:p w14:paraId="41A5973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1.泌尿系统疾病的病因、病理机制</w:t>
            </w:r>
          </w:p>
          <w:p w14:paraId="2B75700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2.临床症状与实验室检查指标</w:t>
            </w:r>
          </w:p>
          <w:p w14:paraId="77ED5C6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3.诊断与鉴别诊断要点</w:t>
            </w:r>
          </w:p>
          <w:p w14:paraId="331D38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4.治疗原则与护理措施</w:t>
            </w:r>
          </w:p>
        </w:tc>
        <w:tc>
          <w:tcPr>
            <w:tcW w:w="1028" w:type="pct"/>
            <w:vAlign w:val="center"/>
          </w:tcPr>
          <w:p w14:paraId="3D1608A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1.能规范采集尿液样本并进行常规检查</w:t>
            </w:r>
          </w:p>
          <w:p w14:paraId="7074123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2.能根据检查结果诊断常见泌尿系统疾病</w:t>
            </w:r>
          </w:p>
          <w:p w14:paraId="442A54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3.能制定肾脏疾病的饮食调理与治疗方案</w:t>
            </w:r>
          </w:p>
        </w:tc>
        <w:tc>
          <w:tcPr>
            <w:tcW w:w="670" w:type="pct"/>
            <w:vAlign w:val="center"/>
          </w:tcPr>
          <w:p w14:paraId="68BD20D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环保意识</w:t>
            </w:r>
          </w:p>
          <w:p w14:paraId="18F407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责任担当</w:t>
            </w:r>
          </w:p>
        </w:tc>
        <w:tc>
          <w:tcPr>
            <w:tcW w:w="547" w:type="pct"/>
            <w:vAlign w:val="center"/>
          </w:tcPr>
          <w:p w14:paraId="01D458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6</w:t>
            </w:r>
            <w:r>
              <w:rPr>
                <w:rFonts w:ascii="宋体" w:hAnsi="宋体" w:eastAsia="宋体" w:cs="宋体"/>
                <w:sz w:val="21"/>
                <w:szCs w:val="21"/>
              </w:rPr>
              <w:t xml:space="preserve"> 实践</w:t>
            </w:r>
            <w:r>
              <w:rPr>
                <w:rFonts w:hint="eastAsia" w:ascii="宋体" w:hAnsi="宋体" w:eastAsia="宋体" w:cs="宋体"/>
                <w:sz w:val="21"/>
                <w:szCs w:val="21"/>
                <w:lang w:val="en-US" w:eastAsia="zh-CN"/>
              </w:rPr>
              <w:t>2</w:t>
            </w:r>
          </w:p>
        </w:tc>
      </w:tr>
      <w:tr w14:paraId="1BBB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08F28E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第六章 神经系统疾病</w:t>
            </w:r>
          </w:p>
        </w:tc>
        <w:tc>
          <w:tcPr>
            <w:tcW w:w="881" w:type="pct"/>
            <w:vAlign w:val="center"/>
          </w:tcPr>
          <w:p w14:paraId="515AB2D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1.中枢神经系统疾病</w:t>
            </w:r>
          </w:p>
          <w:p w14:paraId="1DDA35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2.周围神经系统疾病</w:t>
            </w:r>
          </w:p>
        </w:tc>
        <w:tc>
          <w:tcPr>
            <w:tcW w:w="1028" w:type="pct"/>
            <w:vAlign w:val="center"/>
          </w:tcPr>
          <w:p w14:paraId="0BC1FA4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1.神经系统疾病的病因</w:t>
            </w:r>
          </w:p>
          <w:p w14:paraId="5D23151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2.临床症状与定位诊断方法</w:t>
            </w:r>
          </w:p>
          <w:p w14:paraId="21A645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3.治疗原则与急救措施</w:t>
            </w:r>
          </w:p>
        </w:tc>
        <w:tc>
          <w:tcPr>
            <w:tcW w:w="1028" w:type="pct"/>
            <w:vAlign w:val="center"/>
          </w:tcPr>
          <w:p w14:paraId="1FF5943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1.能完成神经系统反射检查</w:t>
            </w:r>
          </w:p>
          <w:p w14:paraId="4CCA350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2.能对常见神经症状进行定位分析</w:t>
            </w:r>
          </w:p>
          <w:p w14:paraId="764AEE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3.能开展神经系统急症的初步急救</w:t>
            </w:r>
          </w:p>
        </w:tc>
        <w:tc>
          <w:tcPr>
            <w:tcW w:w="670" w:type="pct"/>
            <w:vAlign w:val="center"/>
          </w:tcPr>
          <w:p w14:paraId="1F8261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应急处置工匠精神</w:t>
            </w:r>
          </w:p>
        </w:tc>
        <w:tc>
          <w:tcPr>
            <w:tcW w:w="547" w:type="pct"/>
            <w:vAlign w:val="center"/>
          </w:tcPr>
          <w:p w14:paraId="393A35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p>
        </w:tc>
      </w:tr>
      <w:tr w14:paraId="3994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52AA4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第七章 营养代谢性疾病</w:t>
            </w:r>
          </w:p>
        </w:tc>
        <w:tc>
          <w:tcPr>
            <w:tcW w:w="881" w:type="pct"/>
            <w:vAlign w:val="center"/>
          </w:tcPr>
          <w:p w14:paraId="38411CF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1.糖、脂肪、蛋白质代谢障碍疾病</w:t>
            </w:r>
          </w:p>
          <w:p w14:paraId="53F1F2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2.矿物质、维生素缺乏症</w:t>
            </w:r>
          </w:p>
        </w:tc>
        <w:tc>
          <w:tcPr>
            <w:tcW w:w="1028" w:type="pct"/>
            <w:vAlign w:val="center"/>
          </w:tcPr>
          <w:p w14:paraId="520C6AC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1.营养代谢性疾病的病因</w:t>
            </w:r>
          </w:p>
          <w:p w14:paraId="5B31AC5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2.临床症状与病理变化</w:t>
            </w:r>
          </w:p>
          <w:p w14:paraId="2B73F51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3.诊断方法与营养调理原则</w:t>
            </w:r>
          </w:p>
          <w:p w14:paraId="573B31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4.群体预防与饲养方案优化</w:t>
            </w:r>
          </w:p>
        </w:tc>
        <w:tc>
          <w:tcPr>
            <w:tcW w:w="1028" w:type="pct"/>
            <w:vAlign w:val="center"/>
          </w:tcPr>
          <w:p w14:paraId="59CC9B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ascii="宋体" w:hAnsi="宋体" w:eastAsia="宋体" w:cs="宋体"/>
                <w:sz w:val="21"/>
                <w:szCs w:val="21"/>
              </w:rPr>
              <w:t>1.能</w:t>
            </w:r>
            <w:r>
              <w:rPr>
                <w:rFonts w:hint="eastAsia" w:ascii="宋体" w:hAnsi="宋体" w:eastAsia="宋体" w:cs="宋体"/>
                <w:sz w:val="21"/>
                <w:szCs w:val="21"/>
                <w:lang w:val="en-US" w:eastAsia="zh-CN"/>
              </w:rPr>
              <w:t>辨别营养代谢性疾病</w:t>
            </w:r>
          </w:p>
          <w:p w14:paraId="03CA6D5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2.能制定</w:t>
            </w:r>
            <w:r>
              <w:rPr>
                <w:rFonts w:hint="eastAsia" w:ascii="宋体" w:hAnsi="宋体" w:eastAsia="宋体" w:cs="宋体"/>
                <w:sz w:val="21"/>
                <w:szCs w:val="21"/>
                <w:lang w:val="en-US" w:eastAsia="zh-CN"/>
              </w:rPr>
              <w:t>营养方案</w:t>
            </w:r>
            <w:r>
              <w:rPr>
                <w:rFonts w:ascii="宋体" w:hAnsi="宋体" w:eastAsia="宋体" w:cs="宋体"/>
                <w:sz w:val="21"/>
                <w:szCs w:val="21"/>
              </w:rPr>
              <w:t>方案</w:t>
            </w:r>
          </w:p>
          <w:p w14:paraId="6E1F87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ascii="宋体" w:hAnsi="宋体" w:eastAsia="宋体" w:cs="宋体"/>
                <w:sz w:val="21"/>
                <w:szCs w:val="21"/>
              </w:rPr>
              <w:t>3.能指导养殖人员规范</w:t>
            </w:r>
            <w:r>
              <w:rPr>
                <w:rFonts w:hint="eastAsia" w:ascii="宋体" w:hAnsi="宋体" w:eastAsia="宋体" w:cs="宋体"/>
                <w:sz w:val="21"/>
                <w:szCs w:val="21"/>
                <w:lang w:val="en-US" w:eastAsia="zh-CN"/>
              </w:rPr>
              <w:t>预防营养代谢性疾病</w:t>
            </w:r>
          </w:p>
        </w:tc>
        <w:tc>
          <w:tcPr>
            <w:tcW w:w="670" w:type="pct"/>
            <w:vAlign w:val="center"/>
          </w:tcPr>
          <w:p w14:paraId="7C7E006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社会责任</w:t>
            </w:r>
          </w:p>
          <w:p w14:paraId="6E5BB6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职业素养</w:t>
            </w:r>
          </w:p>
        </w:tc>
        <w:tc>
          <w:tcPr>
            <w:tcW w:w="547" w:type="pct"/>
            <w:vAlign w:val="center"/>
          </w:tcPr>
          <w:p w14:paraId="35DFC4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p>
        </w:tc>
      </w:tr>
      <w:tr w14:paraId="771C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106A2D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第八章 中毒性疾病</w:t>
            </w:r>
          </w:p>
        </w:tc>
        <w:tc>
          <w:tcPr>
            <w:tcW w:w="881" w:type="pct"/>
            <w:vAlign w:val="center"/>
          </w:tcPr>
          <w:p w14:paraId="57EE79C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1.饲料中毒</w:t>
            </w:r>
          </w:p>
          <w:p w14:paraId="5C8B1B1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2.农药、药物中毒</w:t>
            </w:r>
          </w:p>
          <w:p w14:paraId="76DFE6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3.有毒植物中毒</w:t>
            </w:r>
          </w:p>
        </w:tc>
        <w:tc>
          <w:tcPr>
            <w:tcW w:w="1028" w:type="pct"/>
            <w:vAlign w:val="center"/>
          </w:tcPr>
          <w:p w14:paraId="4FD65C1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1.各类中毒的病因、毒理机制</w:t>
            </w:r>
          </w:p>
          <w:p w14:paraId="0A8F10D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2.临床症状与中毒鉴定方法</w:t>
            </w:r>
          </w:p>
          <w:p w14:paraId="7632E3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3.急救原则与治疗措施</w:t>
            </w:r>
          </w:p>
        </w:tc>
        <w:tc>
          <w:tcPr>
            <w:tcW w:w="1028" w:type="pct"/>
            <w:vAlign w:val="center"/>
          </w:tcPr>
          <w:p w14:paraId="464AD03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1.能快速判断中毒类型并实施急救操作</w:t>
            </w:r>
          </w:p>
          <w:p w14:paraId="62A18C0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2.能制定中毒病的预防与溯源方案</w:t>
            </w:r>
          </w:p>
          <w:p w14:paraId="266AC6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3.能指导养殖人员规范使用饲料、农药</w:t>
            </w:r>
          </w:p>
        </w:tc>
        <w:tc>
          <w:tcPr>
            <w:tcW w:w="670" w:type="pct"/>
            <w:vAlign w:val="center"/>
          </w:tcPr>
          <w:p w14:paraId="77964CF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社会责任</w:t>
            </w:r>
          </w:p>
          <w:p w14:paraId="319A30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职业素养</w:t>
            </w:r>
          </w:p>
        </w:tc>
        <w:tc>
          <w:tcPr>
            <w:tcW w:w="547" w:type="pct"/>
            <w:vAlign w:val="center"/>
          </w:tcPr>
          <w:p w14:paraId="0BE160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6</w:t>
            </w:r>
          </w:p>
        </w:tc>
      </w:tr>
      <w:tr w14:paraId="0BFE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Align w:val="center"/>
          </w:tcPr>
          <w:p w14:paraId="49F9BF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第九章 临床综合病例分析</w:t>
            </w:r>
          </w:p>
        </w:tc>
        <w:tc>
          <w:tcPr>
            <w:tcW w:w="881" w:type="pct"/>
            <w:vAlign w:val="center"/>
          </w:tcPr>
          <w:p w14:paraId="3FB0C54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1.单一系统复杂病例分析</w:t>
            </w:r>
          </w:p>
          <w:p w14:paraId="30E338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2.多系统联合病例分析</w:t>
            </w:r>
          </w:p>
        </w:tc>
        <w:tc>
          <w:tcPr>
            <w:tcW w:w="1028" w:type="pct"/>
            <w:vAlign w:val="center"/>
          </w:tcPr>
          <w:p w14:paraId="1867DB0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1.多病因疾病的鉴别诊断思路</w:t>
            </w:r>
          </w:p>
          <w:p w14:paraId="204C641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2.综合治疗方案的制定与优化</w:t>
            </w:r>
          </w:p>
          <w:p w14:paraId="73E20C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3.病例分析与总结方法</w:t>
            </w:r>
          </w:p>
        </w:tc>
        <w:tc>
          <w:tcPr>
            <w:tcW w:w="1028" w:type="pct"/>
            <w:vAlign w:val="center"/>
          </w:tcPr>
          <w:p w14:paraId="66B5027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1.能独立完成复杂病例的综合诊断</w:t>
            </w:r>
          </w:p>
          <w:p w14:paraId="39CACD3C">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2.能制定多系统疾病的联合治疗方案</w:t>
            </w:r>
          </w:p>
          <w:p w14:paraId="762D10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3.能撰写规范的病例报告</w:t>
            </w:r>
          </w:p>
        </w:tc>
        <w:tc>
          <w:tcPr>
            <w:tcW w:w="670" w:type="pct"/>
            <w:vAlign w:val="center"/>
          </w:tcPr>
          <w:p w14:paraId="415A0BE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创新意识</w:t>
            </w:r>
          </w:p>
          <w:p w14:paraId="3C660E6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团队协作</w:t>
            </w:r>
          </w:p>
          <w:p w14:paraId="5261A6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专业素养</w:t>
            </w:r>
          </w:p>
        </w:tc>
        <w:tc>
          <w:tcPr>
            <w:tcW w:w="547" w:type="pct"/>
            <w:vAlign w:val="center"/>
          </w:tcPr>
          <w:p w14:paraId="7324D4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2</w:t>
            </w:r>
            <w:r>
              <w:rPr>
                <w:rFonts w:ascii="宋体" w:hAnsi="宋体" w:eastAsia="宋体" w:cs="宋体"/>
                <w:sz w:val="21"/>
                <w:szCs w:val="21"/>
              </w:rPr>
              <w:t xml:space="preserve"> 实践</w:t>
            </w:r>
            <w:r>
              <w:rPr>
                <w:rFonts w:hint="eastAsia" w:ascii="宋体" w:hAnsi="宋体" w:eastAsia="宋体" w:cs="宋体"/>
                <w:sz w:val="21"/>
                <w:szCs w:val="21"/>
                <w:lang w:val="en-US" w:eastAsia="zh-CN"/>
              </w:rPr>
              <w:t>2</w:t>
            </w:r>
          </w:p>
        </w:tc>
      </w:tr>
    </w:tbl>
    <w:p w14:paraId="70F98BFD">
      <w:pPr>
        <w:pStyle w:val="3"/>
        <w:bidi w:val="0"/>
        <w:rPr>
          <w:rFonts w:hint="eastAsia"/>
          <w:lang w:val="en-US" w:eastAsia="zh-CN"/>
        </w:rPr>
      </w:pPr>
      <w:r>
        <w:rPr>
          <w:rFonts w:hint="eastAsia"/>
          <w:lang w:val="en-US" w:eastAsia="zh-CN"/>
        </w:rPr>
        <w:t>六、课程考核与评价</w:t>
      </w:r>
    </w:p>
    <w:p w14:paraId="1A25A5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256D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41A0BD6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7A499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274E8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34E8046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BFA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2D4CB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EDB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76EC35B">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出勤打卡、课堂互动、线上学习、作业完成情况</w:t>
            </w:r>
          </w:p>
        </w:tc>
        <w:tc>
          <w:tcPr>
            <w:tcW w:w="1311" w:type="dxa"/>
            <w:tcBorders>
              <w:left w:val="single" w:color="auto" w:sz="4" w:space="0"/>
              <w:right w:val="single" w:color="auto" w:sz="4" w:space="0"/>
            </w:tcBorders>
            <w:shd w:val="clear" w:color="auto" w:fill="auto"/>
            <w:vAlign w:val="center"/>
          </w:tcPr>
          <w:p w14:paraId="5F712D2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BC5360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出勤达标（4%），课堂积极参与研讨（4%），作业完成情况（3%）</w:t>
            </w:r>
          </w:p>
        </w:tc>
      </w:tr>
      <w:tr w14:paraId="1896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C3ABE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804A1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20EBB11C">
            <w:pPr>
              <w:rPr>
                <w:rFonts w:hint="eastAsia" w:ascii="Arial" w:hAnsi="Arial" w:eastAsia="宋体" w:cs="Arial"/>
                <w:color w:val="auto"/>
                <w:lang w:val="en-US" w:eastAsia="zh-CN"/>
              </w:rPr>
            </w:pPr>
            <w:r>
              <w:rPr>
                <w:rFonts w:hint="eastAsia" w:ascii="Arial" w:hAnsi="Arial" w:eastAsia="宋体" w:cs="Arial"/>
                <w:color w:val="auto"/>
                <w:lang w:val="en-US" w:eastAsia="zh-CN"/>
              </w:rPr>
              <w:t>每章结束后通过线上测验、案例分析报告形式考核</w:t>
            </w:r>
          </w:p>
        </w:tc>
        <w:tc>
          <w:tcPr>
            <w:tcW w:w="1311" w:type="dxa"/>
            <w:tcBorders>
              <w:left w:val="single" w:color="auto" w:sz="4" w:space="0"/>
              <w:right w:val="single" w:color="auto" w:sz="4" w:space="0"/>
            </w:tcBorders>
            <w:vAlign w:val="center"/>
          </w:tcPr>
          <w:p w14:paraId="23C4AEE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A4CA51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掌握各单元核心知识点（6%），能初步应用技能解决简单问题（4%）</w:t>
            </w:r>
          </w:p>
        </w:tc>
      </w:tr>
      <w:tr w14:paraId="411F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2BB03D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0F23F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457D4125">
            <w:pPr>
              <w:rPr>
                <w:rFonts w:hint="eastAsia" w:ascii="Arial" w:hAnsi="Arial" w:eastAsia="宋体" w:cs="Arial"/>
                <w:color w:val="auto"/>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8896C4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32BAE18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理论知识达标（10%），基础实操规范（10%）</w:t>
            </w:r>
          </w:p>
        </w:tc>
      </w:tr>
      <w:tr w14:paraId="7ABF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9A322A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7E82E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0390910">
            <w:pPr>
              <w:rPr>
                <w:rFonts w:hint="eastAsia" w:ascii="Arial" w:hAnsi="Arial" w:eastAsia="宋体" w:cs="Arial"/>
                <w:color w:val="auto"/>
                <w:lang w:val="en-US" w:eastAsia="zh-CN"/>
              </w:rPr>
            </w:pPr>
            <w:r>
              <w:rPr>
                <w:rFonts w:hint="eastAsia" w:ascii="Arial" w:hAnsi="Arial" w:eastAsia="宋体" w:cs="Arial"/>
                <w:color w:val="auto"/>
                <w:lang w:val="en-US" w:eastAsia="zh-CN"/>
              </w:rPr>
              <w:t>实训操作、病例处理报告</w:t>
            </w:r>
          </w:p>
        </w:tc>
        <w:tc>
          <w:tcPr>
            <w:tcW w:w="1311" w:type="dxa"/>
            <w:tcBorders>
              <w:left w:val="single" w:color="auto" w:sz="4" w:space="0"/>
              <w:right w:val="single" w:color="auto" w:sz="4" w:space="0"/>
            </w:tcBorders>
            <w:vAlign w:val="center"/>
          </w:tcPr>
          <w:p w14:paraId="0B1C1ED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92242DC">
            <w:pPr>
              <w:rPr>
                <w:rFonts w:hint="eastAsia" w:ascii="Arial" w:hAnsi="Arial" w:eastAsia="宋体" w:cs="Arial"/>
                <w:color w:val="auto"/>
                <w:lang w:val="en-US" w:eastAsia="zh-CN"/>
              </w:rPr>
            </w:pPr>
            <w:r>
              <w:rPr>
                <w:rFonts w:hint="eastAsia" w:ascii="Arial" w:hAnsi="Arial" w:eastAsia="宋体" w:cs="Arial"/>
                <w:color w:val="auto"/>
                <w:lang w:val="en-US" w:eastAsia="zh-CN"/>
              </w:rPr>
              <w:t>实操技能规范熟练（5%），病例报告逻辑清晰、诊疗方案合理（5%）</w:t>
            </w:r>
          </w:p>
        </w:tc>
      </w:tr>
      <w:tr w14:paraId="49F5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E7628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4074B8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70948B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2713425F">
            <w:pPr>
              <w:rPr>
                <w:rFonts w:hint="eastAsia" w:ascii="Arial" w:hAnsi="Arial" w:eastAsia="宋体" w:cs="Arial"/>
                <w:color w:val="auto"/>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CBD7A31">
      <w:pPr>
        <w:pStyle w:val="3"/>
        <w:bidi w:val="0"/>
        <w:rPr>
          <w:rFonts w:hint="eastAsia"/>
          <w:lang w:val="en-US" w:eastAsia="zh-CN"/>
        </w:rPr>
      </w:pPr>
      <w:r>
        <w:rPr>
          <w:rFonts w:hint="eastAsia"/>
          <w:lang w:val="en-US" w:eastAsia="zh-CN"/>
        </w:rPr>
        <w:t>七、课程实施与保障</w:t>
      </w:r>
    </w:p>
    <w:p w14:paraId="0C3237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CA2C7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采用“案例驱动+理实一体”的教学模式，理论教学以临床典型病例为切入点，通过多媒体、虚拟仿真软件、线上教学平台开展理论讲解与案例研讨</w:t>
      </w:r>
      <w:r>
        <w:rPr>
          <w:rFonts w:hint="eastAsia" w:ascii="宋体" w:hAnsi="宋体" w:eastAsia="宋体" w:cs="宋体"/>
          <w:sz w:val="24"/>
          <w:szCs w:val="24"/>
          <w:lang w:eastAsia="zh-CN"/>
        </w:rPr>
        <w:t>。</w:t>
      </w:r>
      <w:r>
        <w:rPr>
          <w:rFonts w:ascii="宋体" w:hAnsi="宋体" w:eastAsia="宋体" w:cs="宋体"/>
          <w:sz w:val="24"/>
          <w:szCs w:val="24"/>
        </w:rPr>
        <w:t>校内兽医临床实训</w:t>
      </w:r>
      <w:r>
        <w:rPr>
          <w:rFonts w:hint="eastAsia" w:ascii="宋体" w:hAnsi="宋体" w:eastAsia="宋体" w:cs="宋体"/>
          <w:sz w:val="24"/>
          <w:szCs w:val="24"/>
          <w:lang w:val="en-US" w:eastAsia="zh-CN"/>
        </w:rPr>
        <w:t>室</w:t>
      </w:r>
      <w:r>
        <w:rPr>
          <w:rFonts w:ascii="宋体" w:hAnsi="宋体" w:eastAsia="宋体" w:cs="宋体"/>
          <w:sz w:val="24"/>
          <w:szCs w:val="24"/>
        </w:rPr>
        <w:t>进行模拟诊疗实操。运用小组协作、角色扮演、技能竞赛等教学方法，激发学生学习主动性；依托学习通、兽医在线等数字平台，提供线上课程资源、答疑辅导与互动交流，实现课内外无缝衔接。</w:t>
      </w:r>
    </w:p>
    <w:p w14:paraId="29CB5DE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432D6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构建“行业使命-职业素养-家国情怀”的课程思政价值链，将思政元素与教学内容深度融合。通过讲解我国兽医行业前辈的奉献事迹、重大动物疫病防控成就，厚植家国情怀；结合临床诊疗中的诚信诊疗、关爱动物案例，强化职业道德；引入行业违法违规诊疗案例开展法治教育；在实训操作中强调规范流程、医疗废弃物处理，践行生态文明理念；通过复杂病例研讨与创新诊疗方案设计，培养创新精神与工匠精神。</w:t>
      </w:r>
    </w:p>
    <w:p w14:paraId="68D541E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8B0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77416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专业教师在15人左右，专职教师10人，</w:t>
      </w:r>
      <w:r>
        <w:rPr>
          <w:rFonts w:ascii="宋体" w:hAnsi="宋体" w:eastAsia="宋体" w:cs="宋体"/>
          <w:sz w:val="24"/>
          <w:szCs w:val="24"/>
        </w:rPr>
        <w:t>其中双师型教师比例不低于70%</w:t>
      </w:r>
      <w:r>
        <w:rPr>
          <w:rFonts w:hint="eastAsia" w:ascii="宋体" w:hAnsi="宋体" w:eastAsia="宋体" w:cs="宋体"/>
          <w:sz w:val="24"/>
          <w:szCs w:val="24"/>
          <w:lang w:val="en-US" w:eastAsia="zh-CN"/>
        </w:rPr>
        <w:t>。</w:t>
      </w:r>
    </w:p>
    <w:p w14:paraId="2C78F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4927"/>
      </w:tblGrid>
      <w:tr w14:paraId="659B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499" w:type="pct"/>
            <w:vAlign w:val="center"/>
          </w:tcPr>
          <w:p w14:paraId="444B4AB4">
            <w:pPr>
              <w:jc w:val="center"/>
              <w:rPr>
                <w:rFonts w:hint="default" w:ascii="Arial" w:hAnsi="Arial" w:eastAsia="宋体" w:cs="Arial"/>
                <w:b/>
                <w:bCs/>
                <w:color w:val="auto"/>
                <w:sz w:val="21"/>
                <w:szCs w:val="21"/>
                <w:lang w:val="en-US" w:eastAsia="zh-CN"/>
              </w:rPr>
            </w:pPr>
            <w:r>
              <w:rPr>
                <w:rFonts w:hint="eastAsia" w:ascii="Arial" w:hAnsi="Arial" w:eastAsia="宋体" w:cs="Arial"/>
                <w:b/>
                <w:bCs/>
                <w:color w:val="auto"/>
                <w:sz w:val="21"/>
                <w:szCs w:val="21"/>
                <w:lang w:val="en-US" w:eastAsia="zh-CN"/>
              </w:rPr>
              <w:t>设备</w:t>
            </w:r>
          </w:p>
        </w:tc>
        <w:tc>
          <w:tcPr>
            <w:tcW w:w="2500" w:type="pct"/>
            <w:vAlign w:val="center"/>
          </w:tcPr>
          <w:p w14:paraId="512621D8">
            <w:pPr>
              <w:jc w:val="center"/>
              <w:rPr>
                <w:rFonts w:hint="default" w:ascii="Arial" w:hAnsi="Arial" w:eastAsia="宋体" w:cs="Arial"/>
                <w:b/>
                <w:bCs/>
                <w:color w:val="auto"/>
                <w:sz w:val="21"/>
                <w:szCs w:val="21"/>
                <w:lang w:val="en-US" w:eastAsia="zh-CN"/>
              </w:rPr>
            </w:pPr>
            <w:r>
              <w:rPr>
                <w:rFonts w:hint="eastAsia" w:ascii="Arial" w:hAnsi="Arial" w:eastAsia="宋体" w:cs="Arial"/>
                <w:b/>
                <w:bCs/>
                <w:color w:val="auto"/>
                <w:sz w:val="21"/>
                <w:szCs w:val="21"/>
                <w:lang w:val="en-US" w:eastAsia="zh-CN"/>
              </w:rPr>
              <w:t>数量</w:t>
            </w:r>
          </w:p>
        </w:tc>
      </w:tr>
      <w:tr w14:paraId="69A9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7FA13F73">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多媒体教学设备</w:t>
            </w:r>
          </w:p>
        </w:tc>
        <w:tc>
          <w:tcPr>
            <w:tcW w:w="2500" w:type="pct"/>
          </w:tcPr>
          <w:p w14:paraId="61A017C9">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若干</w:t>
            </w:r>
          </w:p>
        </w:tc>
      </w:tr>
      <w:tr w14:paraId="0489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3957C46D">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血常规分析仪</w:t>
            </w:r>
          </w:p>
        </w:tc>
        <w:tc>
          <w:tcPr>
            <w:tcW w:w="2500" w:type="pct"/>
          </w:tcPr>
          <w:p w14:paraId="26E9E0CE">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r w14:paraId="5D43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1FA06CC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尿常规检测仪</w:t>
            </w:r>
          </w:p>
        </w:tc>
        <w:tc>
          <w:tcPr>
            <w:tcW w:w="2500" w:type="pct"/>
          </w:tcPr>
          <w:p w14:paraId="153A52AA">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r w14:paraId="3BA3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23C9CD8F">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血液生化分析仪</w:t>
            </w:r>
          </w:p>
        </w:tc>
        <w:tc>
          <w:tcPr>
            <w:tcW w:w="2500" w:type="pct"/>
          </w:tcPr>
          <w:p w14:paraId="07BD93EE">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r w14:paraId="2B83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3480036F">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血压检测仪</w:t>
            </w:r>
          </w:p>
        </w:tc>
        <w:tc>
          <w:tcPr>
            <w:tcW w:w="2500" w:type="pct"/>
          </w:tcPr>
          <w:p w14:paraId="15D5960B">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10</w:t>
            </w:r>
          </w:p>
        </w:tc>
      </w:tr>
      <w:tr w14:paraId="04D1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3AB2C90B">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彩色超声诊断仪</w:t>
            </w:r>
          </w:p>
        </w:tc>
        <w:tc>
          <w:tcPr>
            <w:tcW w:w="2500" w:type="pct"/>
          </w:tcPr>
          <w:p w14:paraId="0C4BB82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r w14:paraId="3551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4229929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显微镜</w:t>
            </w:r>
          </w:p>
        </w:tc>
        <w:tc>
          <w:tcPr>
            <w:tcW w:w="2500" w:type="pct"/>
          </w:tcPr>
          <w:p w14:paraId="54B13922">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40</w:t>
            </w:r>
          </w:p>
        </w:tc>
      </w:tr>
      <w:tr w14:paraId="3F13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46D3FA15">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听诊器、体温计等</w:t>
            </w:r>
          </w:p>
        </w:tc>
        <w:tc>
          <w:tcPr>
            <w:tcW w:w="2500" w:type="pct"/>
          </w:tcPr>
          <w:p w14:paraId="1E51C3A8">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若干</w:t>
            </w:r>
          </w:p>
        </w:tc>
      </w:tr>
      <w:tr w14:paraId="43EE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71722BE9">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输液泵</w:t>
            </w:r>
          </w:p>
        </w:tc>
        <w:tc>
          <w:tcPr>
            <w:tcW w:w="2500" w:type="pct"/>
          </w:tcPr>
          <w:p w14:paraId="7C8D1B6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r w14:paraId="62A6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14:paraId="4292EA9C">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离心机</w:t>
            </w:r>
          </w:p>
        </w:tc>
        <w:tc>
          <w:tcPr>
            <w:tcW w:w="2500" w:type="pct"/>
          </w:tcPr>
          <w:p w14:paraId="1EDCE6D4">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1</w:t>
            </w:r>
          </w:p>
        </w:tc>
      </w:tr>
    </w:tbl>
    <w:p w14:paraId="7E00DD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3FCA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02940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指定教材、教学大纲、课程</w:t>
      </w:r>
      <w:r>
        <w:rPr>
          <w:rFonts w:hint="eastAsia" w:ascii="宋体" w:hAnsi="宋体" w:eastAsia="宋体" w:cs="宋体"/>
          <w:sz w:val="24"/>
          <w:szCs w:val="24"/>
          <w:lang w:val="en-US" w:eastAsia="zh-CN"/>
        </w:rPr>
        <w:t>教案</w:t>
      </w:r>
      <w:r>
        <w:rPr>
          <w:rFonts w:ascii="宋体" w:hAnsi="宋体" w:eastAsia="宋体" w:cs="宋体"/>
          <w:sz w:val="24"/>
          <w:szCs w:val="24"/>
        </w:rPr>
        <w:t>、考核标准</w:t>
      </w:r>
      <w:r>
        <w:rPr>
          <w:rFonts w:hint="eastAsia" w:ascii="宋体" w:hAnsi="宋体" w:eastAsia="宋体" w:cs="宋体"/>
          <w:sz w:val="24"/>
          <w:szCs w:val="24"/>
          <w:lang w:eastAsia="zh-CN"/>
        </w:rPr>
        <w:t>。</w:t>
      </w:r>
    </w:p>
    <w:p w14:paraId="7FCFE5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B0AF8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线上课程视频、临床病例库、行业标准数据库、线上测验题库。</w:t>
      </w:r>
    </w:p>
    <w:p w14:paraId="7D8A05B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cs="宋体"/>
          <w:iCs/>
          <w:sz w:val="24"/>
          <w:lang w:val="en-US" w:eastAsia="zh-CN"/>
        </w:rPr>
      </w:pPr>
    </w:p>
    <w:p w14:paraId="68414C6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A9C24B7">
      <w:pPr>
        <w:pStyle w:val="2"/>
        <w:bidi w:val="0"/>
        <w:jc w:val="center"/>
        <w:rPr>
          <w:rFonts w:hint="eastAsia"/>
          <w:lang w:val="en-US" w:eastAsia="zh-CN"/>
        </w:rPr>
      </w:pPr>
      <w:bookmarkStart w:id="38" w:name="_Toc25757"/>
      <w:bookmarkStart w:id="39" w:name="_Toc29330"/>
      <w:r>
        <w:rPr>
          <w:rFonts w:hint="eastAsia"/>
          <w:lang w:val="en-US" w:eastAsia="zh-CN"/>
        </w:rPr>
        <w:t>《畜牧场经营与管理》课程标准</w:t>
      </w:r>
      <w:bookmarkEnd w:id="38"/>
      <w:bookmarkEnd w:id="39"/>
    </w:p>
    <w:p w14:paraId="731EB9B7">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4D6B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3047C2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BEF082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畜牧场经营与管理</w:t>
            </w:r>
          </w:p>
        </w:tc>
        <w:tc>
          <w:tcPr>
            <w:tcW w:w="975" w:type="dxa"/>
            <w:tcBorders>
              <w:top w:val="single" w:color="auto" w:sz="4" w:space="0"/>
              <w:left w:val="single" w:color="auto" w:sz="4" w:space="0"/>
              <w:bottom w:val="single" w:color="auto" w:sz="4" w:space="0"/>
              <w:right w:val="single" w:color="auto" w:sz="4" w:space="0"/>
            </w:tcBorders>
            <w:vAlign w:val="center"/>
          </w:tcPr>
          <w:p w14:paraId="183D581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0D0314E">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xcxm24016</w:t>
            </w:r>
          </w:p>
        </w:tc>
      </w:tr>
      <w:tr w14:paraId="7D79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47EA5B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6B90D55">
            <w:pPr>
              <w:jc w:val="center"/>
              <w:rPr>
                <w:rFonts w:hint="default" w:eastAsiaTheme="minorEastAsia"/>
                <w:lang w:val="en-US" w:eastAsia="zh-CN"/>
              </w:rPr>
            </w:pPr>
            <w:r>
              <w:rPr>
                <w:rFonts w:hint="eastAsia"/>
                <w:lang w:val="en-US" w:eastAsia="zh-CN"/>
              </w:rPr>
              <w:t>32学时</w:t>
            </w:r>
          </w:p>
        </w:tc>
        <w:tc>
          <w:tcPr>
            <w:tcW w:w="1595" w:type="dxa"/>
            <w:tcBorders>
              <w:top w:val="single" w:color="auto" w:sz="4" w:space="0"/>
              <w:left w:val="single" w:color="auto" w:sz="4" w:space="0"/>
              <w:bottom w:val="single" w:color="auto" w:sz="4" w:space="0"/>
              <w:right w:val="single" w:color="auto" w:sz="4" w:space="0"/>
            </w:tcBorders>
          </w:tcPr>
          <w:p w14:paraId="22562B8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1D4E35D">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06A8243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0A15F4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1879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C5821A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95BB3C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畜牧兽医专业</w:t>
            </w:r>
          </w:p>
        </w:tc>
      </w:tr>
      <w:tr w14:paraId="035D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BA74369">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30C20E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591B8B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322032E">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58439F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C99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D5CD4C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2CFE058">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养殖场环境控制、动物营养与饲料等</w:t>
            </w:r>
          </w:p>
        </w:tc>
      </w:tr>
      <w:tr w14:paraId="6CEA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4EE055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4AD33D91">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现代养殖设备与设施、畜牧兽医法律法规</w:t>
            </w:r>
            <w:r>
              <w:rPr>
                <w:rFonts w:hint="default" w:ascii="Arial" w:hAnsi="Arial" w:eastAsia="宋体" w:cs="Arial"/>
                <w:color w:val="auto"/>
                <w:lang w:val="en-US" w:eastAsia="zh-CN"/>
              </w:rPr>
              <w:t>等</w:t>
            </w:r>
          </w:p>
        </w:tc>
      </w:tr>
      <w:tr w14:paraId="3770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98F9EC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80BE9C4">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畜牧场经营与管理</w:t>
            </w:r>
            <w:r>
              <w:rPr>
                <w:rFonts w:ascii="Arial" w:hAnsi="Arial" w:eastAsia="宋体" w:cs="Arial"/>
              </w:rPr>
              <w:t>》（</w:t>
            </w:r>
            <w:r>
              <w:rPr>
                <w:rFonts w:hint="eastAsia" w:ascii="Arial" w:hAnsi="Arial" w:eastAsia="宋体" w:cs="Arial"/>
                <w:lang w:val="en-US" w:eastAsia="zh-CN"/>
              </w:rPr>
              <w:t>作者孙凡花</w:t>
            </w:r>
            <w:r>
              <w:rPr>
                <w:rFonts w:hint="eastAsia" w:ascii="Arial" w:hAnsi="Arial" w:eastAsia="宋体" w:cs="Arial"/>
              </w:rPr>
              <w:t>，</w:t>
            </w:r>
            <w:r>
              <w:rPr>
                <w:rFonts w:hint="eastAsia" w:ascii="Arial" w:hAnsi="Arial" w:eastAsia="宋体" w:cs="Arial"/>
                <w:lang w:val="en-US" w:eastAsia="zh-CN"/>
              </w:rPr>
              <w:t>出版社：中国农业大学出版社，出版年份2021，ISBN978-7-5655-2501-8号</w:t>
            </w:r>
            <w:r>
              <w:rPr>
                <w:rFonts w:ascii="Arial" w:hAnsi="Arial" w:eastAsia="宋体" w:cs="Arial"/>
              </w:rPr>
              <w:t>)</w:t>
            </w:r>
          </w:p>
        </w:tc>
      </w:tr>
      <w:tr w14:paraId="5732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05F09A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A095D3F">
            <w:pPr>
              <w:widowControl/>
              <w:jc w:val="left"/>
              <w:rPr>
                <w:rFonts w:hint="eastAsia" w:eastAsiaTheme="minorEastAsia"/>
                <w:lang w:val="en-US" w:eastAsia="zh-CN"/>
              </w:rPr>
            </w:pPr>
            <w:r>
              <w:rPr>
                <w:rFonts w:hint="eastAsia"/>
                <w:lang w:val="en-US" w:eastAsia="zh-CN"/>
              </w:rPr>
              <w:t>房新</w:t>
            </w:r>
          </w:p>
        </w:tc>
        <w:tc>
          <w:tcPr>
            <w:tcW w:w="975" w:type="dxa"/>
            <w:tcBorders>
              <w:top w:val="single" w:color="auto" w:sz="4" w:space="0"/>
              <w:left w:val="single" w:color="auto" w:sz="4" w:space="0"/>
              <w:bottom w:val="single" w:color="auto" w:sz="4" w:space="0"/>
              <w:right w:val="single" w:color="auto" w:sz="4" w:space="0"/>
            </w:tcBorders>
            <w:vAlign w:val="center"/>
          </w:tcPr>
          <w:p w14:paraId="2907644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5CDDE6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BBA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115" w:type="dxa"/>
            <w:tcBorders>
              <w:top w:val="single" w:color="auto" w:sz="4" w:space="0"/>
              <w:left w:val="single" w:color="auto" w:sz="4" w:space="0"/>
              <w:right w:val="single" w:color="auto" w:sz="4" w:space="0"/>
            </w:tcBorders>
            <w:vAlign w:val="center"/>
          </w:tcPr>
          <w:p w14:paraId="03440B5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D293CF8">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404DB2E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8E58C40">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46CBEFE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7B5D620">
      <w:pPr>
        <w:pStyle w:val="3"/>
        <w:bidi w:val="0"/>
        <w:rPr>
          <w:rFonts w:hint="eastAsia"/>
          <w:lang w:val="en-US" w:eastAsia="zh-CN"/>
        </w:rPr>
      </w:pPr>
      <w:r>
        <w:rPr>
          <w:rFonts w:hint="eastAsia"/>
          <w:lang w:val="en-US" w:eastAsia="zh-CN"/>
        </w:rPr>
        <w:t>二、课程定位</w:t>
      </w:r>
    </w:p>
    <w:p w14:paraId="2493CF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畜牧场经营与管理是畜牧兽医类专业的核心专业课程，是衔接基础理论与畜牧生产实践的关键纽带，具有鲜明的实践性、综合性和应用性。本课程立足现代畜牧产业发展需求，以畜牧场全流程运营为核心，融合管理学、经济学、畜牧学、生态学等多学科知识，旨在帮助学生掌握畜牧场规划建设、生产管理、经营决策、质量安全管控、环保治理等核心技能，培养能够适应现代畜牧产业转型升级需要，具备良好职业素养和创新意识的高素质技术技能人才或管理型人才。</w:t>
      </w:r>
    </w:p>
    <w:p w14:paraId="042370B3">
      <w:pPr>
        <w:pStyle w:val="3"/>
        <w:bidi w:val="0"/>
        <w:rPr>
          <w:rFonts w:hint="eastAsia"/>
          <w:lang w:val="en-US" w:eastAsia="zh-CN"/>
        </w:rPr>
      </w:pPr>
      <w:r>
        <w:rPr>
          <w:rFonts w:hint="eastAsia"/>
          <w:lang w:val="en-US" w:eastAsia="zh-CN"/>
        </w:rPr>
        <w:t>三、课程设计思路</w:t>
      </w:r>
    </w:p>
    <w:p w14:paraId="3E366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遵循“学生中心、产出导向、持续改进”的OBE教育理念。教学内容依据专业人才培养方案、行业技术标准及相关教材确定，深入调研现代畜牧企业（规模化猪场、奶牛场、家禽养殖场等）经营管理岗位的核心需求，梳理岗位典型工作任务（如畜牧场规划布局、生产计划制定、成本核算、疫病防控管理、产品营销、环保合规等），将岗位能力要求转化为课程教学目标和教学内容，确保教学内容与岗位实际精准对接。</w:t>
      </w:r>
    </w:p>
    <w:p w14:paraId="70A24F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形式上，引入真实畜牧场经营案例（如规模化猪场成本管控案例、奶牛场标准化生产案例等），引导学生分析解决实际问题；依托校内外实训基地（或虚拟仿真平台），开展畜牧场规划设计、生产流程实操、经营数据核算等实训任务；融入“畜牧兽医技能大赛”“智慧农业创新创业大赛”相关内容，以及“畜禽养殖技术员”“畜牧场管理员”等职业技能等级证书考核要求，提升学生的实践能力和职业竞争力。</w:t>
      </w:r>
    </w:p>
    <w:p w14:paraId="414C57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职业院校技能大赛、大学生创新创业大赛等相关内容，推动“岗课赛证”融通培养。</w:t>
      </w:r>
    </w:p>
    <w:p w14:paraId="369DE4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思政方面，挖掘课程蕴含的思政元素（如产业情怀、责任担当、科学精神、法治意识、绿色发展理念等），将其有机融入各教学模块。通过讲解我国畜牧产业发展历程、乡村振兴战略下畜牧产业的作用、畜牧场环保责任等内容，培养学生的家国情怀和社会责任感；通过规范实训操作、强调质量安全意识，培养学生的严谨求实态度和职业操守</w:t>
      </w:r>
      <w:r>
        <w:rPr>
          <w:rFonts w:hint="eastAsia" w:asciiTheme="minorEastAsia" w:hAnsiTheme="minorEastAsia" w:cstheme="minorEastAsia"/>
          <w:sz w:val="24"/>
          <w:szCs w:val="24"/>
          <w:lang w:val="en-US" w:eastAsia="zh-CN"/>
        </w:rPr>
        <w:t>。</w:t>
      </w:r>
    </w:p>
    <w:p w14:paraId="48ED723E">
      <w:pPr>
        <w:pStyle w:val="3"/>
        <w:bidi w:val="0"/>
        <w:rPr>
          <w:rFonts w:hint="eastAsia"/>
          <w:lang w:val="en-US" w:eastAsia="zh-CN"/>
        </w:rPr>
      </w:pPr>
      <w:r>
        <w:rPr>
          <w:rFonts w:hint="eastAsia"/>
          <w:lang w:val="en-US" w:eastAsia="zh-CN"/>
        </w:rPr>
        <w:t>四、课程目标</w:t>
      </w:r>
    </w:p>
    <w:p w14:paraId="62DA76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20C92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1.理解现代畜牧产业发展现状、趋势及政策法规（如《畜牧法》《动物防疫法》《畜禽规模养殖污染防治条例》等）；</w:t>
      </w:r>
    </w:p>
    <w:p w14:paraId="3C4F74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掌握畜牧场规划设计的基本原则、选址要求及功能区布局要点；</w:t>
      </w:r>
    </w:p>
    <w:p w14:paraId="2C140D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熟悉畜禽（猪、牛、羊、禽等）不同生理阶段的生产管理流程和技术要点；</w:t>
      </w:r>
    </w:p>
    <w:p w14:paraId="718B11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掌握畜牧场经营决策的基本方法，理解成本核算、利润分析、市场营销的核心逻辑；</w:t>
      </w:r>
    </w:p>
    <w:p w14:paraId="7DC52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了解畜牧场质量安全管控体系（从饲料、养殖到产品出栏的全流程管控）；</w:t>
      </w:r>
    </w:p>
    <w:p w14:paraId="3F5930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掌握畜牧场环境保护与废弃物资源化利用的基本技术和管理要求。</w:t>
      </w:r>
    </w:p>
    <w:p w14:paraId="7BAADC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226945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能够独立完成小型畜牧场的选址调研和初步规划方案设计；</w:t>
      </w:r>
    </w:p>
    <w:p w14:paraId="4C0C1C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能够制定畜禽不同阶段的生产计划，并指导落实生产管理流程（如饲喂管理、疫病防控、繁殖管理等）；</w:t>
      </w:r>
    </w:p>
    <w:p w14:paraId="6B431A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能够进行畜牧场基础经营数据（成本、产量、利润）的核算与分析，提出初步的经营优化建议；</w:t>
      </w:r>
    </w:p>
    <w:p w14:paraId="5CC6B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能够识别和处理畜牧场生产经营中的常见问题（如生产效率低下、成本过高、疫病风险等）；</w:t>
      </w:r>
    </w:p>
    <w:p w14:paraId="2B1197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能够制定畜牧场质量安全管控和环保治理的基本方案，确保养殖过程合规达标；</w:t>
      </w:r>
    </w:p>
    <w:p w14:paraId="2172CE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具备团队协作能力和沟通表达能力，能够在畜牧场经营管理中有效开展团队工作和对外对接（如与供应商、经销商、监管部门等）。</w:t>
      </w:r>
    </w:p>
    <w:p w14:paraId="068313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57C376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具备热爱畜牧产业、扎根基层的职业情怀和敬业精神；</w:t>
      </w:r>
    </w:p>
    <w:p w14:paraId="1B97B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养成严谨细致、求真务实的工作态度，注重养殖过程的规范性和数据的真实性；</w:t>
      </w:r>
    </w:p>
    <w:p w14:paraId="007096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具备较强的学习能力和创新意识，能够适应现代畜牧产业（如智慧养殖、生态养殖）的发展变化；</w:t>
      </w:r>
    </w:p>
    <w:p w14:paraId="57C9AC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具备良好的团队合作精神和责任担当，能够主动承担养殖过程中的各项职责；</w:t>
      </w:r>
    </w:p>
    <w:p w14:paraId="377E4D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养成绿色发展理念，注重生态环境保护，推动畜牧产业可持续发展。</w:t>
      </w:r>
    </w:p>
    <w:p w14:paraId="70238B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（四）思政目标</w:t>
      </w:r>
    </w:p>
    <w:p w14:paraId="45AB0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增强家国情怀，了解我国畜牧产业在保障粮食安全、推进乡村振兴中的重要作用，树立为我国畜牧产业高质量发展贡献力量的理想信念；</w:t>
      </w:r>
    </w:p>
    <w:p w14:paraId="7FCF77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强化法治意识，自觉遵守畜牧相关法律法规，树立依法养殖、合规经营的理念；</w:t>
      </w:r>
    </w:p>
    <w:p w14:paraId="370A29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培养责任担当，认识到畜牧场质量安全关乎消费者健康，环保治理关乎生态安全，增强对社会和环境的责任意识；</w:t>
      </w:r>
    </w:p>
    <w:p w14:paraId="2DFAE2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弘扬科学精神，抵制养殖过程中的迷信行为，坚持以科学理论和技术指导养殖实践；</w:t>
      </w:r>
    </w:p>
    <w:p w14:paraId="00B75E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树立正确的价值观，培养艰苦奋斗、甘于奉献的精神，适应畜牧养殖行业艰苦的工作环境，扎根基层实现职业价值。</w:t>
      </w:r>
    </w:p>
    <w:p w14:paraId="59BC7555">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81"/>
        <w:gridCol w:w="1715"/>
        <w:gridCol w:w="1617"/>
        <w:gridCol w:w="2058"/>
        <w:gridCol w:w="1178"/>
      </w:tblGrid>
      <w:tr w14:paraId="154F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pct"/>
            <w:vAlign w:val="center"/>
          </w:tcPr>
          <w:p w14:paraId="39C7BD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5" w:type="pct"/>
            <w:vAlign w:val="center"/>
          </w:tcPr>
          <w:p w14:paraId="096561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70" w:type="pct"/>
            <w:vAlign w:val="center"/>
          </w:tcPr>
          <w:p w14:paraId="1213CD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20" w:type="pct"/>
            <w:vAlign w:val="center"/>
          </w:tcPr>
          <w:p w14:paraId="4A1218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4" w:type="pct"/>
            <w:vAlign w:val="center"/>
          </w:tcPr>
          <w:p w14:paraId="135073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7" w:type="pct"/>
            <w:vAlign w:val="center"/>
          </w:tcPr>
          <w:p w14:paraId="49A81C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256E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7DC20F49">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绪论</w:t>
            </w:r>
          </w:p>
        </w:tc>
        <w:tc>
          <w:tcPr>
            <w:tcW w:w="1005" w:type="pct"/>
            <w:vAlign w:val="center"/>
          </w:tcPr>
          <w:p w14:paraId="299773C3">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畜牧业发展现状</w:t>
            </w:r>
          </w:p>
        </w:tc>
        <w:tc>
          <w:tcPr>
            <w:tcW w:w="870" w:type="pct"/>
            <w:vAlign w:val="center"/>
          </w:tcPr>
          <w:p w14:paraId="58F4E0B5">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畜牧业在国民经济的地位</w:t>
            </w:r>
          </w:p>
        </w:tc>
        <w:tc>
          <w:tcPr>
            <w:tcW w:w="820" w:type="pct"/>
            <w:vAlign w:val="center"/>
          </w:tcPr>
          <w:p w14:paraId="1B326442">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对比国内外畜牧业发展状况</w:t>
            </w:r>
          </w:p>
        </w:tc>
        <w:tc>
          <w:tcPr>
            <w:tcW w:w="1044" w:type="pct"/>
            <w:vAlign w:val="center"/>
          </w:tcPr>
          <w:p w14:paraId="70A52D79">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热爱畜牧业精神</w:t>
            </w:r>
          </w:p>
        </w:tc>
        <w:tc>
          <w:tcPr>
            <w:tcW w:w="597" w:type="pct"/>
            <w:vAlign w:val="center"/>
          </w:tcPr>
          <w:p w14:paraId="7FA066CD">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2</w:t>
            </w:r>
          </w:p>
        </w:tc>
      </w:tr>
      <w:tr w14:paraId="0CD3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73FF8D92">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项目一</w:t>
            </w:r>
          </w:p>
        </w:tc>
        <w:tc>
          <w:tcPr>
            <w:tcW w:w="1005" w:type="pct"/>
            <w:vAlign w:val="center"/>
          </w:tcPr>
          <w:p w14:paraId="44C2BBE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畜牧产品市场与市场调查</w:t>
            </w:r>
          </w:p>
        </w:tc>
        <w:tc>
          <w:tcPr>
            <w:tcW w:w="870" w:type="pct"/>
            <w:vAlign w:val="center"/>
          </w:tcPr>
          <w:p w14:paraId="6D719C81">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熟悉畜产品功能与作用</w:t>
            </w:r>
          </w:p>
        </w:tc>
        <w:tc>
          <w:tcPr>
            <w:tcW w:w="820" w:type="pct"/>
            <w:vAlign w:val="center"/>
          </w:tcPr>
          <w:p w14:paraId="35CDAEDF">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能进行畜产品市场调研</w:t>
            </w:r>
          </w:p>
        </w:tc>
        <w:tc>
          <w:tcPr>
            <w:tcW w:w="1044" w:type="pct"/>
            <w:vAlign w:val="center"/>
          </w:tcPr>
          <w:p w14:paraId="739BB74E">
            <w:pPr>
              <w:jc w:val="center"/>
              <w:rPr>
                <w:rFonts w:hint="default"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社会和环境的责任意识</w:t>
            </w:r>
          </w:p>
        </w:tc>
        <w:tc>
          <w:tcPr>
            <w:tcW w:w="597" w:type="pct"/>
            <w:vAlign w:val="center"/>
          </w:tcPr>
          <w:p w14:paraId="63E7FE48">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2</w:t>
            </w:r>
          </w:p>
        </w:tc>
      </w:tr>
      <w:tr w14:paraId="508A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4005DE35">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项目二</w:t>
            </w:r>
          </w:p>
        </w:tc>
        <w:tc>
          <w:tcPr>
            <w:tcW w:w="1005" w:type="pct"/>
            <w:vAlign w:val="center"/>
          </w:tcPr>
          <w:p w14:paraId="0C434652">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畜牧场经营预测、决策与适度规模的确定</w:t>
            </w:r>
          </w:p>
        </w:tc>
        <w:tc>
          <w:tcPr>
            <w:tcW w:w="870" w:type="pct"/>
            <w:vAlign w:val="center"/>
          </w:tcPr>
          <w:p w14:paraId="5FBAC02D">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熟悉畜牧场鲸鱼预测、决策的方法</w:t>
            </w:r>
          </w:p>
        </w:tc>
        <w:tc>
          <w:tcPr>
            <w:tcW w:w="820" w:type="pct"/>
            <w:vAlign w:val="center"/>
          </w:tcPr>
          <w:p w14:paraId="3A47C6F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综合预测结果进行决策</w:t>
            </w:r>
          </w:p>
        </w:tc>
        <w:tc>
          <w:tcPr>
            <w:tcW w:w="1044" w:type="pct"/>
            <w:vAlign w:val="center"/>
          </w:tcPr>
          <w:p w14:paraId="628DF7ED">
            <w:pPr>
              <w:jc w:val="cente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精益求精</w:t>
            </w:r>
            <w:r>
              <w:rPr>
                <w:rFonts w:hint="eastAsia" w:asciiTheme="minorEastAsia" w:hAnsiTheme="minorEastAsia" w:cstheme="minorEastAsia"/>
                <w:sz w:val="24"/>
                <w:szCs w:val="24"/>
                <w:lang w:val="en-US" w:eastAsia="zh-CN"/>
              </w:rPr>
              <w:t>的</w:t>
            </w:r>
            <w:r>
              <w:rPr>
                <w:rFonts w:hint="eastAsia" w:ascii="Arial" w:hAnsi="Arial" w:eastAsia="宋体" w:cs="Arial"/>
                <w:color w:val="auto"/>
                <w:lang w:val="en-US" w:eastAsia="zh-CN"/>
              </w:rPr>
              <w:t>工匠精神</w:t>
            </w:r>
          </w:p>
        </w:tc>
        <w:tc>
          <w:tcPr>
            <w:tcW w:w="597" w:type="pct"/>
            <w:vAlign w:val="center"/>
          </w:tcPr>
          <w:p w14:paraId="5EC745F6">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4</w:t>
            </w:r>
          </w:p>
        </w:tc>
      </w:tr>
      <w:tr w14:paraId="5131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128428C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项目三</w:t>
            </w:r>
          </w:p>
        </w:tc>
        <w:tc>
          <w:tcPr>
            <w:tcW w:w="1005" w:type="pct"/>
            <w:vAlign w:val="center"/>
          </w:tcPr>
          <w:p w14:paraId="6BF654C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编制生产计划</w:t>
            </w:r>
          </w:p>
        </w:tc>
        <w:tc>
          <w:tcPr>
            <w:tcW w:w="870" w:type="pct"/>
            <w:vAlign w:val="center"/>
          </w:tcPr>
          <w:p w14:paraId="45BE079B">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熟悉畜牧场经营计划编制的流程</w:t>
            </w:r>
          </w:p>
        </w:tc>
        <w:tc>
          <w:tcPr>
            <w:tcW w:w="820" w:type="pct"/>
            <w:vAlign w:val="center"/>
          </w:tcPr>
          <w:p w14:paraId="17660A6E">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能针对畜牧场某一任务做出具体计划</w:t>
            </w:r>
          </w:p>
        </w:tc>
        <w:tc>
          <w:tcPr>
            <w:tcW w:w="1044" w:type="pct"/>
            <w:vAlign w:val="center"/>
          </w:tcPr>
          <w:p w14:paraId="663679A5">
            <w:pPr>
              <w:jc w:val="cente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求真务实、严谨细致、勇于探索的科学精神</w:t>
            </w:r>
          </w:p>
        </w:tc>
        <w:tc>
          <w:tcPr>
            <w:tcW w:w="597" w:type="pct"/>
            <w:vAlign w:val="center"/>
          </w:tcPr>
          <w:p w14:paraId="081F276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4</w:t>
            </w:r>
          </w:p>
        </w:tc>
      </w:tr>
      <w:tr w14:paraId="41DA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69FCE05A">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项目四</w:t>
            </w:r>
          </w:p>
        </w:tc>
        <w:tc>
          <w:tcPr>
            <w:tcW w:w="1005" w:type="pct"/>
            <w:vAlign w:val="center"/>
          </w:tcPr>
          <w:p w14:paraId="578CD46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畜产品营销与签订合同</w:t>
            </w:r>
          </w:p>
        </w:tc>
        <w:tc>
          <w:tcPr>
            <w:tcW w:w="870" w:type="pct"/>
            <w:vAlign w:val="center"/>
          </w:tcPr>
          <w:p w14:paraId="3DAE7D0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掌握合同签订的流程</w:t>
            </w:r>
          </w:p>
        </w:tc>
        <w:tc>
          <w:tcPr>
            <w:tcW w:w="820" w:type="pct"/>
            <w:vAlign w:val="center"/>
          </w:tcPr>
          <w:p w14:paraId="522283A1">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能独立制订正确的合同</w:t>
            </w:r>
          </w:p>
        </w:tc>
        <w:tc>
          <w:tcPr>
            <w:tcW w:w="1044" w:type="pct"/>
            <w:vAlign w:val="center"/>
          </w:tcPr>
          <w:p w14:paraId="5D0C0333">
            <w:pPr>
              <w:jc w:val="cente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树立依法养殖、合规经营的理念</w:t>
            </w:r>
          </w:p>
        </w:tc>
        <w:tc>
          <w:tcPr>
            <w:tcW w:w="597" w:type="pct"/>
            <w:vAlign w:val="center"/>
          </w:tcPr>
          <w:p w14:paraId="3226BB4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4</w:t>
            </w:r>
          </w:p>
        </w:tc>
      </w:tr>
      <w:tr w14:paraId="2FC0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534E51A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项目五</w:t>
            </w:r>
          </w:p>
        </w:tc>
        <w:tc>
          <w:tcPr>
            <w:tcW w:w="1005" w:type="pct"/>
            <w:vAlign w:val="center"/>
          </w:tcPr>
          <w:p w14:paraId="0F1D85DF">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畜牧企业生产要素管理</w:t>
            </w:r>
          </w:p>
        </w:tc>
        <w:tc>
          <w:tcPr>
            <w:tcW w:w="870" w:type="pct"/>
            <w:vAlign w:val="center"/>
          </w:tcPr>
          <w:p w14:paraId="41C5C97B">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掌握畜牧业的激励机制</w:t>
            </w:r>
          </w:p>
        </w:tc>
        <w:tc>
          <w:tcPr>
            <w:tcW w:w="820" w:type="pct"/>
            <w:vAlign w:val="center"/>
          </w:tcPr>
          <w:p w14:paraId="7E25F831">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能制定出提高劳动力和生产率的方法</w:t>
            </w:r>
          </w:p>
        </w:tc>
        <w:tc>
          <w:tcPr>
            <w:tcW w:w="1044" w:type="pct"/>
            <w:vAlign w:val="center"/>
          </w:tcPr>
          <w:p w14:paraId="3BDF427B">
            <w:pPr>
              <w:jc w:val="cente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增强学生的民族自豪感和“学农报国”的使命感</w:t>
            </w:r>
          </w:p>
        </w:tc>
        <w:tc>
          <w:tcPr>
            <w:tcW w:w="597" w:type="pct"/>
            <w:vAlign w:val="center"/>
          </w:tcPr>
          <w:p w14:paraId="5F9EDD2A">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6</w:t>
            </w:r>
          </w:p>
        </w:tc>
      </w:tr>
      <w:tr w14:paraId="5D47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0B412E96">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项目六</w:t>
            </w:r>
          </w:p>
        </w:tc>
        <w:tc>
          <w:tcPr>
            <w:tcW w:w="1005" w:type="pct"/>
            <w:vAlign w:val="center"/>
          </w:tcPr>
          <w:p w14:paraId="0AAB0D8A">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经济核算与经济效果分析</w:t>
            </w:r>
          </w:p>
        </w:tc>
        <w:tc>
          <w:tcPr>
            <w:tcW w:w="870" w:type="pct"/>
            <w:vAlign w:val="center"/>
          </w:tcPr>
          <w:p w14:paraId="459C304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掌握资产、成本、盈利的核算方法</w:t>
            </w:r>
          </w:p>
        </w:tc>
        <w:tc>
          <w:tcPr>
            <w:tcW w:w="820" w:type="pct"/>
            <w:vAlign w:val="center"/>
          </w:tcPr>
          <w:p w14:paraId="1C12735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能对畜牧企业进行畜产品成本核算</w:t>
            </w:r>
          </w:p>
        </w:tc>
        <w:tc>
          <w:tcPr>
            <w:tcW w:w="1044" w:type="pct"/>
            <w:vAlign w:val="center"/>
          </w:tcPr>
          <w:p w14:paraId="69FBB309">
            <w:pPr>
              <w:jc w:val="center"/>
              <w:rPr>
                <w:rFonts w:hint="eastAsia" w:ascii="Arial" w:hAnsi="Arial" w:eastAsia="宋体" w:cs="Arial"/>
                <w:color w:val="auto"/>
                <w:lang w:val="en-US" w:eastAsia="zh-CN"/>
              </w:rPr>
            </w:pPr>
            <w:r>
              <w:rPr>
                <w:rFonts w:hint="eastAsia" w:asciiTheme="minorEastAsia" w:hAnsiTheme="minorEastAsia" w:eastAsiaTheme="minorEastAsia" w:cstheme="minorEastAsia"/>
                <w:sz w:val="24"/>
                <w:szCs w:val="24"/>
                <w:lang w:val="en-US" w:eastAsia="zh-CN"/>
              </w:rPr>
              <w:t>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tc>
        <w:tc>
          <w:tcPr>
            <w:tcW w:w="597" w:type="pct"/>
            <w:vAlign w:val="center"/>
          </w:tcPr>
          <w:p w14:paraId="3B966A7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6</w:t>
            </w:r>
          </w:p>
        </w:tc>
      </w:tr>
      <w:tr w14:paraId="115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2FBEC566">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项目七</w:t>
            </w:r>
          </w:p>
        </w:tc>
        <w:tc>
          <w:tcPr>
            <w:tcW w:w="1005" w:type="pct"/>
            <w:vAlign w:val="center"/>
          </w:tcPr>
          <w:p w14:paraId="4CFD85E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畜牧场环境管理、监测与评价</w:t>
            </w:r>
          </w:p>
        </w:tc>
        <w:tc>
          <w:tcPr>
            <w:tcW w:w="870" w:type="pct"/>
            <w:vAlign w:val="center"/>
          </w:tcPr>
          <w:p w14:paraId="323F6BD2">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掌握畜牧场环境的消毒方法</w:t>
            </w:r>
          </w:p>
        </w:tc>
        <w:tc>
          <w:tcPr>
            <w:tcW w:w="820" w:type="pct"/>
            <w:vAlign w:val="center"/>
          </w:tcPr>
          <w:p w14:paraId="77735DCA">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能对畜牧场环境进行科学管理</w:t>
            </w:r>
          </w:p>
        </w:tc>
        <w:tc>
          <w:tcPr>
            <w:tcW w:w="1044" w:type="pct"/>
            <w:vAlign w:val="center"/>
          </w:tcPr>
          <w:p w14:paraId="67C0679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坚持以科学理论和技术指导养殖实践</w:t>
            </w:r>
          </w:p>
        </w:tc>
        <w:tc>
          <w:tcPr>
            <w:tcW w:w="597" w:type="pct"/>
            <w:vAlign w:val="center"/>
          </w:tcPr>
          <w:p w14:paraId="23EF7E96">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4</w:t>
            </w:r>
          </w:p>
        </w:tc>
      </w:tr>
    </w:tbl>
    <w:p w14:paraId="20086758">
      <w:pPr>
        <w:pStyle w:val="3"/>
        <w:bidi w:val="0"/>
        <w:rPr>
          <w:rFonts w:hint="eastAsia"/>
          <w:lang w:val="en-US" w:eastAsia="zh-CN"/>
        </w:rPr>
      </w:pPr>
      <w:r>
        <w:rPr>
          <w:rFonts w:hint="eastAsia"/>
          <w:lang w:val="en-US" w:eastAsia="zh-CN"/>
        </w:rPr>
        <w:t>六、课程考核与评价</w:t>
      </w:r>
    </w:p>
    <w:p w14:paraId="668B0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3FF8C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3F82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A5ABD9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7217FE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170F1D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ED6B42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F46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2A16C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09003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7657CDC">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CADE220">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5935E69D">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6FB3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AE5620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C57BC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1671594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DFC6B6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6693BCE4">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5392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04B45F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363DD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BE3642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1E8B60A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2335746">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3D80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1735D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D38B0F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7EB599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4196D9D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03A9C0F">
      <w:pPr>
        <w:pStyle w:val="3"/>
        <w:bidi w:val="0"/>
        <w:rPr>
          <w:rFonts w:hint="eastAsia"/>
          <w:lang w:val="en-US" w:eastAsia="zh-CN"/>
        </w:rPr>
      </w:pPr>
      <w:r>
        <w:rPr>
          <w:rFonts w:hint="eastAsia"/>
          <w:lang w:val="en-US" w:eastAsia="zh-CN"/>
        </w:rPr>
        <w:t>七、课程实施与保障</w:t>
      </w:r>
    </w:p>
    <w:p w14:paraId="316CCB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E1AF9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如模拟兽医诊断）、虚拟仿真实训等形式，提高学生学习主动性和实践能力。</w:t>
      </w:r>
    </w:p>
    <w:p w14:paraId="39D83A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387A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试验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425F97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9F8D9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6603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微生物相关教学经验与实践经历。鼓励聘请行业企业资深兽医、技术专家担任兼职教师，承担部分实践教学或讲座。团队结构（职称、年龄、专兼职）合理。</w:t>
      </w:r>
    </w:p>
    <w:p w14:paraId="4BE1DA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9FC8978">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51685C63">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05FDB23B">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动物微生物实验室：操作台、细菌培养器材。符合生物安全与废弃物处理要求。</w:t>
      </w:r>
    </w:p>
    <w:p w14:paraId="0B45C2B2">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显微互动实验室：配备显微镜、显微成像系统、细菌标本片等。</w:t>
      </w:r>
    </w:p>
    <w:p w14:paraId="627C464B">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虚拟仿真实训室：安装传染病病原虚拟仿真软件。</w:t>
      </w:r>
    </w:p>
    <w:p w14:paraId="6C7D89EC">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69D354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AD1E3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5F9A5C9B">
      <w:pPr>
        <w:keepNext w:val="0"/>
        <w:keepLines w:val="0"/>
        <w:pageBreakBefore w:val="0"/>
        <w:widowControl w:val="0"/>
        <w:numPr>
          <w:ilvl w:val="0"/>
          <w:numId w:val="3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数字教学资源：建设或选用精品在线开放课程资源库；开发或收集高质量微课视频、三维动画、虚拟仿真实验项目；建立标本、切片数字图像库；利用专业数据库、学术网站链接拓展学习资源。</w:t>
      </w:r>
    </w:p>
    <w:p w14:paraId="49196662">
      <w:pPr>
        <w:rPr>
          <w:rFonts w:hint="eastAsia" w:ascii="宋体" w:hAnsi="宋体" w:eastAsia="宋体" w:cs="宋体"/>
          <w:sz w:val="24"/>
          <w:szCs w:val="24"/>
          <w:lang w:val="en-US" w:eastAsia="zh-CN"/>
        </w:rPr>
      </w:pPr>
    </w:p>
    <w:p w14:paraId="7ECAC3F6">
      <w:pPr>
        <w:rPr>
          <w:rFonts w:hint="eastAsia" w:ascii="宋体" w:hAnsi="宋体" w:eastAsia="宋体" w:cs="宋体"/>
          <w:sz w:val="24"/>
          <w:szCs w:val="24"/>
          <w:lang w:val="en-US" w:eastAsia="zh-CN"/>
        </w:rPr>
      </w:pPr>
    </w:p>
    <w:p w14:paraId="5F917258">
      <w:pPr>
        <w:rPr>
          <w:rFonts w:hint="eastAsia" w:ascii="宋体" w:hAnsi="宋体" w:eastAsia="宋体" w:cs="宋体"/>
          <w:sz w:val="24"/>
          <w:szCs w:val="24"/>
          <w:lang w:val="en-US" w:eastAsia="zh-CN"/>
        </w:rPr>
      </w:pPr>
    </w:p>
    <w:p w14:paraId="619EA4D3">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1BD1A146">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27EFB910">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3F3702FE">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4B4EB31E">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47CB7732">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5163A028">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760682CF">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767C7D1C">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420655F7">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6026EF68">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0A479756">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5B444E96">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24478DAC">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7ADC89EE">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64767B61">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749CCC2D">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37207BC3">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59928C05">
      <w:pPr>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sz w:val="24"/>
          <w:szCs w:val="24"/>
          <w:lang w:val="en-US" w:eastAsia="zh-CN"/>
        </w:rPr>
      </w:pPr>
    </w:p>
    <w:p w14:paraId="426D7574">
      <w:pPr>
        <w:rPr>
          <w:rFonts w:hint="eastAsia"/>
          <w:lang w:val="en-US" w:eastAsia="zh-CN"/>
        </w:rPr>
      </w:pPr>
      <w:bookmarkStart w:id="40" w:name="_Toc8831"/>
      <w:r>
        <w:rPr>
          <w:rFonts w:hint="eastAsia"/>
          <w:lang w:val="en-US" w:eastAsia="zh-CN"/>
        </w:rPr>
        <w:br w:type="page"/>
      </w:r>
    </w:p>
    <w:p w14:paraId="0CF3603A">
      <w:pPr>
        <w:pStyle w:val="2"/>
        <w:bidi w:val="0"/>
        <w:jc w:val="center"/>
        <w:rPr>
          <w:rFonts w:hint="eastAsia"/>
          <w:lang w:val="en-US" w:eastAsia="zh-CN"/>
        </w:rPr>
      </w:pPr>
      <w:bookmarkStart w:id="41" w:name="_Toc1059"/>
      <w:r>
        <w:rPr>
          <w:rFonts w:hint="eastAsia"/>
          <w:lang w:val="en-US" w:eastAsia="zh-CN"/>
        </w:rPr>
        <w:t>《现代养殖设备与设施》课程标准</w:t>
      </w:r>
      <w:bookmarkEnd w:id="40"/>
      <w:bookmarkEnd w:id="41"/>
    </w:p>
    <w:p w14:paraId="0094962D">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0F65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CE29C2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4155D8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现代养殖设备与设施</w:t>
            </w:r>
          </w:p>
        </w:tc>
        <w:tc>
          <w:tcPr>
            <w:tcW w:w="975" w:type="dxa"/>
            <w:tcBorders>
              <w:top w:val="single" w:color="auto" w:sz="4" w:space="0"/>
              <w:left w:val="single" w:color="auto" w:sz="4" w:space="0"/>
              <w:bottom w:val="single" w:color="auto" w:sz="4" w:space="0"/>
              <w:right w:val="single" w:color="auto" w:sz="4" w:space="0"/>
            </w:tcBorders>
            <w:vAlign w:val="center"/>
          </w:tcPr>
          <w:p w14:paraId="5DA2C03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A9E7846">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xcxm24017</w:t>
            </w:r>
          </w:p>
        </w:tc>
      </w:tr>
      <w:tr w14:paraId="7948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142786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7D58484">
            <w:pPr>
              <w:jc w:val="center"/>
              <w:rPr>
                <w:rFonts w:hint="default" w:eastAsiaTheme="minorEastAsia"/>
                <w:sz w:val="21"/>
                <w:szCs w:val="21"/>
                <w:lang w:val="en-US" w:eastAsia="zh-CN"/>
              </w:rPr>
            </w:pPr>
            <w:r>
              <w:rPr>
                <w:rFonts w:hint="eastAsia"/>
                <w:sz w:val="21"/>
                <w:szCs w:val="21"/>
                <w:lang w:val="en-US" w:eastAsia="zh-CN"/>
              </w:rPr>
              <w:t>32学时</w:t>
            </w:r>
          </w:p>
        </w:tc>
        <w:tc>
          <w:tcPr>
            <w:tcW w:w="1595" w:type="dxa"/>
            <w:tcBorders>
              <w:top w:val="single" w:color="auto" w:sz="4" w:space="0"/>
              <w:left w:val="single" w:color="auto" w:sz="4" w:space="0"/>
              <w:bottom w:val="single" w:color="auto" w:sz="4" w:space="0"/>
              <w:right w:val="single" w:color="auto" w:sz="4" w:space="0"/>
            </w:tcBorders>
          </w:tcPr>
          <w:p w14:paraId="760AE0D7">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789302F">
            <w:pPr>
              <w:jc w:val="center"/>
              <w:rPr>
                <w:rFonts w:hint="eastAsia"/>
                <w:sz w:val="21"/>
                <w:szCs w:val="21"/>
                <w:lang w:val="en-US" w:eastAsia="zh-CN"/>
              </w:rPr>
            </w:pPr>
            <w:r>
              <w:rPr>
                <w:rFonts w:hint="eastAsia"/>
                <w:sz w:val="21"/>
                <w:szCs w:val="21"/>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352A42A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6967A9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779F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6404B7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BABCA4C">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7826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5C6573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CDF3B99">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lang w:eastAsia="zh-CN"/>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D1F847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C9696CF">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6E1634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B39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3B8C04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7CBDCFB">
            <w:pPr>
              <w:pStyle w:val="16"/>
              <w:spacing w:before="0" w:beforeAutospacing="0" w:after="0" w:afterAutospacing="0"/>
              <w:ind w:left="-105" w:leftChars="-50" w:right="-105" w:rightChars="-50"/>
              <w:jc w:val="both"/>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动物营养与饲料</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养殖场环境控制与污物治理技术</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畜牧场经营与管理</w:t>
            </w:r>
            <w:r>
              <w:rPr>
                <w:rFonts w:hint="eastAsia" w:ascii="Arial" w:hAnsi="Arial" w:eastAsia="宋体" w:cs="Arial"/>
                <w:color w:val="auto"/>
                <w:sz w:val="21"/>
                <w:szCs w:val="21"/>
                <w:lang w:eastAsia="zh-CN"/>
              </w:rPr>
              <w:t>》</w:t>
            </w:r>
          </w:p>
        </w:tc>
      </w:tr>
      <w:tr w14:paraId="1A06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D8898E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23938F3">
            <w:pPr>
              <w:pStyle w:val="16"/>
              <w:tabs>
                <w:tab w:val="left" w:pos="851"/>
              </w:tabs>
              <w:spacing w:before="0" w:beforeAutospacing="0" w:after="0" w:afterAutospacing="0"/>
              <w:ind w:left="-105" w:leftChars="-50" w:right="-105" w:rightChars="-50"/>
              <w:jc w:val="left"/>
              <w:rPr>
                <w:rFonts w:hint="eastAsia" w:ascii="Arial" w:hAnsi="Arial" w:eastAsia="宋体" w:cs="Arial"/>
                <w:color w:val="auto"/>
                <w:sz w:val="21"/>
                <w:szCs w:val="21"/>
                <w:lang w:eastAsia="zh-CN"/>
              </w:rPr>
            </w:pPr>
            <w:r>
              <w:rPr>
                <w:rFonts w:hint="eastAsia" w:ascii="Arial" w:hAnsi="Arial" w:eastAsia="宋体" w:cs="Arial"/>
                <w:color w:val="auto"/>
                <w:sz w:val="21"/>
                <w:szCs w:val="21"/>
                <w:lang w:eastAsia="zh-CN"/>
              </w:rPr>
              <w:tab/>
            </w:r>
            <w:r>
              <w:rPr>
                <w:rFonts w:hint="eastAsia" w:ascii="Arial" w:hAnsi="Arial" w:eastAsia="宋体" w:cs="Arial"/>
                <w:color w:val="auto"/>
                <w:sz w:val="21"/>
                <w:szCs w:val="21"/>
                <w:lang w:eastAsia="zh-CN"/>
              </w:rPr>
              <w:t>《畜产品市场营销》《动物防疫与检疫》</w:t>
            </w:r>
          </w:p>
        </w:tc>
      </w:tr>
      <w:tr w14:paraId="40ED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E1B20E2">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3BE5397">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宋体" w:hAnsi="宋体" w:eastAsia="宋体"/>
                <w:color w:val="auto"/>
                <w:sz w:val="21"/>
                <w:szCs w:val="21"/>
                <w:lang w:val="en-US" w:eastAsia="zh-CN"/>
              </w:rPr>
              <w:t>现代养殖设备与设施</w:t>
            </w:r>
            <w:r>
              <w:rPr>
                <w:rFonts w:ascii="Arial" w:hAnsi="Arial" w:eastAsia="宋体" w:cs="Arial"/>
                <w:sz w:val="21"/>
                <w:szCs w:val="21"/>
              </w:rPr>
              <w:t>》（</w:t>
            </w:r>
            <w:r>
              <w:rPr>
                <w:rFonts w:hint="eastAsia" w:ascii="Arial" w:hAnsi="Arial" w:eastAsia="宋体" w:cs="Arial"/>
                <w:sz w:val="21"/>
                <w:szCs w:val="21"/>
                <w:lang w:val="en-US" w:eastAsia="zh-CN"/>
              </w:rPr>
              <w:t>作者：黄炎坤、马伟</w:t>
            </w:r>
            <w:r>
              <w:rPr>
                <w:rFonts w:hint="eastAsia" w:ascii="Arial" w:hAnsi="Arial" w:eastAsia="宋体" w:cs="Arial"/>
                <w:sz w:val="21"/>
                <w:szCs w:val="21"/>
              </w:rPr>
              <w:t>，</w:t>
            </w:r>
            <w:r>
              <w:rPr>
                <w:rFonts w:hint="eastAsia" w:ascii="Arial" w:hAnsi="Arial" w:eastAsia="宋体" w:cs="Arial"/>
                <w:sz w:val="21"/>
                <w:szCs w:val="21"/>
                <w:lang w:val="en-US" w:eastAsia="zh-CN"/>
              </w:rPr>
              <w:t>出版社：中原农民出版社，出版年份：2016，978-7-5542-7</w:t>
            </w:r>
            <w:r>
              <w:rPr>
                <w:rFonts w:ascii="Arial" w:hAnsi="Arial" w:eastAsia="宋体" w:cs="Arial"/>
                <w:sz w:val="21"/>
                <w:szCs w:val="21"/>
              </w:rPr>
              <w:t>)</w:t>
            </w:r>
          </w:p>
        </w:tc>
      </w:tr>
      <w:tr w14:paraId="0101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A0B504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B872085">
            <w:pPr>
              <w:widowControl/>
              <w:jc w:val="left"/>
              <w:rPr>
                <w:rFonts w:hint="eastAsia" w:eastAsiaTheme="minorEastAsia"/>
                <w:sz w:val="21"/>
                <w:szCs w:val="21"/>
                <w:lang w:val="en-US" w:eastAsia="zh-CN"/>
              </w:rPr>
            </w:pPr>
            <w:r>
              <w:rPr>
                <w:rFonts w:hint="eastAsia"/>
                <w:sz w:val="21"/>
                <w:szCs w:val="21"/>
                <w:lang w:val="en-US" w:eastAsia="zh-CN"/>
              </w:rPr>
              <w:t>梁爽</w:t>
            </w:r>
          </w:p>
        </w:tc>
        <w:tc>
          <w:tcPr>
            <w:tcW w:w="975" w:type="dxa"/>
            <w:tcBorders>
              <w:top w:val="single" w:color="auto" w:sz="4" w:space="0"/>
              <w:left w:val="single" w:color="auto" w:sz="4" w:space="0"/>
              <w:bottom w:val="single" w:color="auto" w:sz="4" w:space="0"/>
              <w:right w:val="single" w:color="auto" w:sz="4" w:space="0"/>
            </w:tcBorders>
            <w:vAlign w:val="center"/>
          </w:tcPr>
          <w:p w14:paraId="4193FAE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8676C4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ACB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63672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7D7900D">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57FB7EE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86458E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07D3962">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E68B25C">
      <w:pPr>
        <w:pStyle w:val="3"/>
        <w:bidi w:val="0"/>
        <w:rPr>
          <w:rFonts w:hint="eastAsia"/>
          <w:lang w:val="en-US" w:eastAsia="zh-CN"/>
        </w:rPr>
      </w:pPr>
      <w:r>
        <w:rPr>
          <w:rFonts w:hint="eastAsia"/>
          <w:lang w:val="en-US" w:eastAsia="zh-CN"/>
        </w:rPr>
        <w:t>二、课程定位</w:t>
      </w:r>
    </w:p>
    <w:p w14:paraId="42C082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本</w:t>
      </w:r>
      <w:r>
        <w:rPr>
          <w:rFonts w:hint="eastAsia" w:ascii="宋体" w:hAnsi="宋体" w:eastAsia="宋体" w:cs="宋体"/>
          <w:sz w:val="24"/>
          <w:szCs w:val="24"/>
          <w:lang w:val="en-US" w:eastAsia="zh-CN"/>
        </w:rPr>
        <w:t>课程是畜牧兽医专业必修的核心课程，是在动物营养与饲料、养殖场环境控制与污物治理技术等专业基础课程上开设的理实一体化课程。课程对养殖场经营、畜牧养殖技术服务等岗位，培养学生具备养殖场设计、畜禽标准化养殖等职业素质与核心能力，为后续畜禽饲养相关课程学习和职业岗位实践奠定坚实基础。同时，将课程思政深度融入教学全过程，助力学生树立正确的职业观、价值观和家国情怀。</w:t>
      </w:r>
    </w:p>
    <w:p w14:paraId="5BC005CE">
      <w:pPr>
        <w:pStyle w:val="3"/>
        <w:bidi w:val="0"/>
        <w:rPr>
          <w:rFonts w:hint="eastAsia"/>
          <w:lang w:val="en-US" w:eastAsia="zh-CN"/>
        </w:rPr>
      </w:pPr>
      <w:r>
        <w:rPr>
          <w:rFonts w:hint="eastAsia"/>
          <w:lang w:val="en-US" w:eastAsia="zh-CN"/>
        </w:rPr>
        <w:t>三、课程设计思路</w:t>
      </w:r>
    </w:p>
    <w:p w14:paraId="0AF99A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根据人才培养方案及相关教材确定教学内容</w:t>
      </w:r>
      <w:r>
        <w:rPr>
          <w:rFonts w:hint="eastAsia" w:asciiTheme="minorEastAsia" w:hAnsiTheme="minorEastAsia" w:cstheme="minorEastAsia"/>
          <w:color w:val="auto"/>
          <w:sz w:val="24"/>
          <w:szCs w:val="24"/>
          <w:highlight w:val="none"/>
          <w:lang w:val="en-US" w:eastAsia="zh-CN"/>
        </w:rPr>
        <w:t>，</w:t>
      </w:r>
      <w:r>
        <w:rPr>
          <w:rFonts w:ascii="宋体" w:hAnsi="宋体" w:eastAsia="宋体" w:cs="宋体"/>
          <w:color w:val="auto"/>
          <w:sz w:val="24"/>
          <w:szCs w:val="24"/>
          <w:highlight w:val="none"/>
        </w:rPr>
        <w:t>对接动物</w:t>
      </w:r>
      <w:r>
        <w:rPr>
          <w:rFonts w:hint="eastAsia" w:ascii="宋体" w:hAnsi="宋体" w:eastAsia="宋体" w:cs="宋体"/>
          <w:color w:val="auto"/>
          <w:sz w:val="24"/>
          <w:szCs w:val="24"/>
          <w:highlight w:val="none"/>
          <w:lang w:val="en-US" w:eastAsia="zh-CN"/>
        </w:rPr>
        <w:t>饲料管理员</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一线养殖场管理者</w:t>
      </w:r>
      <w:r>
        <w:rPr>
          <w:rFonts w:ascii="宋体" w:hAnsi="宋体" w:eastAsia="宋体" w:cs="宋体"/>
          <w:color w:val="auto"/>
          <w:sz w:val="24"/>
          <w:szCs w:val="24"/>
          <w:highlight w:val="none"/>
        </w:rPr>
        <w:t>等职业岗位核心需求，以</w:t>
      </w:r>
      <w:r>
        <w:rPr>
          <w:rFonts w:hint="eastAsia" w:ascii="宋体" w:hAnsi="宋体" w:eastAsia="宋体" w:cs="宋体"/>
          <w:color w:val="auto"/>
          <w:sz w:val="24"/>
          <w:szCs w:val="24"/>
          <w:highlight w:val="none"/>
          <w:lang w:val="en-US" w:eastAsia="zh-CN"/>
        </w:rPr>
        <w:t>畜禽饲养推动饲养标准化产业链为</w:t>
      </w:r>
      <w:r>
        <w:rPr>
          <w:rFonts w:ascii="宋体" w:hAnsi="宋体" w:eastAsia="宋体" w:cs="宋体"/>
          <w:color w:val="auto"/>
          <w:sz w:val="24"/>
          <w:szCs w:val="24"/>
          <w:highlight w:val="none"/>
        </w:rPr>
        <w:t>主线设计教学内容。先以</w:t>
      </w:r>
      <w:r>
        <w:rPr>
          <w:rFonts w:hint="eastAsia" w:ascii="宋体" w:hAnsi="宋体" w:eastAsia="宋体" w:cs="宋体"/>
          <w:color w:val="auto"/>
          <w:sz w:val="24"/>
          <w:szCs w:val="24"/>
          <w:highlight w:val="none"/>
          <w:lang w:val="en-US" w:eastAsia="zh-CN"/>
        </w:rPr>
        <w:t>整体养殖场选址，分区再细化内部结构分别进行详细拆解优化</w:t>
      </w:r>
      <w:r>
        <w:rPr>
          <w:rFonts w:ascii="宋体" w:hAnsi="宋体" w:eastAsia="宋体" w:cs="宋体"/>
          <w:color w:val="auto"/>
          <w:sz w:val="24"/>
          <w:szCs w:val="24"/>
          <w:highlight w:val="none"/>
        </w:rPr>
        <w:t>，提炼核心知识与技能模块</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再</w:t>
      </w:r>
      <w:r>
        <w:rPr>
          <w:rFonts w:hint="eastAsia" w:ascii="宋体" w:hAnsi="宋体" w:eastAsia="宋体" w:cs="宋体"/>
          <w:color w:val="auto"/>
          <w:sz w:val="24"/>
          <w:szCs w:val="24"/>
          <w:highlight w:val="none"/>
          <w:lang w:val="en-US" w:eastAsia="zh-CN"/>
        </w:rPr>
        <w:t>通过不同饲养家畜分别讲授核心内容，给学生搭建具体知识框架</w:t>
      </w:r>
      <w:r>
        <w:rPr>
          <w:rFonts w:ascii="宋体" w:hAnsi="宋体" w:eastAsia="宋体" w:cs="宋体"/>
          <w:color w:val="auto"/>
          <w:sz w:val="24"/>
          <w:szCs w:val="24"/>
          <w:highlight w:val="none"/>
        </w:rPr>
        <w:t>。</w:t>
      </w:r>
    </w:p>
    <w:p w14:paraId="487B64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教学形式采用线上</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线下混合式教学，理论部分通过多媒体、</w:t>
      </w:r>
      <w:r>
        <w:rPr>
          <w:rFonts w:hint="eastAsia" w:ascii="宋体" w:hAnsi="宋体" w:eastAsia="宋体" w:cs="宋体"/>
          <w:color w:val="auto"/>
          <w:sz w:val="24"/>
          <w:szCs w:val="24"/>
          <w:highlight w:val="none"/>
          <w:lang w:val="en-US" w:eastAsia="zh-CN"/>
        </w:rPr>
        <w:t>设计图纸</w:t>
      </w:r>
      <w:r>
        <w:rPr>
          <w:rFonts w:ascii="宋体" w:hAnsi="宋体" w:eastAsia="宋体" w:cs="宋体"/>
          <w:color w:val="auto"/>
          <w:sz w:val="24"/>
          <w:szCs w:val="24"/>
          <w:highlight w:val="none"/>
        </w:rPr>
        <w:t>研讨、线上答疑开展，实践部分依托校内</w:t>
      </w:r>
      <w:r>
        <w:rPr>
          <w:rFonts w:hint="eastAsia" w:ascii="宋体" w:hAnsi="宋体" w:eastAsia="宋体" w:cs="宋体"/>
          <w:color w:val="auto"/>
          <w:sz w:val="24"/>
          <w:szCs w:val="24"/>
          <w:highlight w:val="none"/>
          <w:lang w:val="en-US" w:eastAsia="zh-CN"/>
        </w:rPr>
        <w:t>仿真模拟</w:t>
      </w:r>
      <w:r>
        <w:rPr>
          <w:rFonts w:ascii="宋体" w:hAnsi="宋体" w:eastAsia="宋体" w:cs="宋体"/>
          <w:color w:val="auto"/>
          <w:sz w:val="24"/>
          <w:szCs w:val="24"/>
          <w:highlight w:val="none"/>
        </w:rPr>
        <w:t>实训</w:t>
      </w:r>
      <w:r>
        <w:rPr>
          <w:rFonts w:hint="eastAsia" w:ascii="宋体" w:hAnsi="宋体" w:eastAsia="宋体" w:cs="宋体"/>
          <w:color w:val="auto"/>
          <w:sz w:val="24"/>
          <w:szCs w:val="24"/>
          <w:highlight w:val="none"/>
          <w:lang w:val="en-US" w:eastAsia="zh-CN"/>
        </w:rPr>
        <w:t>室，模拟真实环境内养殖场建设，设备使用</w:t>
      </w:r>
      <w:r>
        <w:rPr>
          <w:rFonts w:ascii="宋体" w:hAnsi="宋体" w:eastAsia="宋体" w:cs="宋体"/>
          <w:color w:val="auto"/>
          <w:sz w:val="24"/>
          <w:szCs w:val="24"/>
          <w:highlight w:val="none"/>
        </w:rPr>
        <w:t>通过定期</w:t>
      </w:r>
      <w:r>
        <w:rPr>
          <w:rFonts w:hint="eastAsia" w:ascii="宋体" w:hAnsi="宋体" w:eastAsia="宋体" w:cs="宋体"/>
          <w:color w:val="auto"/>
          <w:sz w:val="24"/>
          <w:szCs w:val="24"/>
          <w:highlight w:val="none"/>
          <w:lang w:val="en-US" w:eastAsia="zh-CN"/>
        </w:rPr>
        <w:t>考核</w:t>
      </w:r>
      <w:r>
        <w:rPr>
          <w:rFonts w:ascii="宋体" w:hAnsi="宋体" w:eastAsia="宋体" w:cs="宋体"/>
          <w:color w:val="auto"/>
          <w:sz w:val="24"/>
          <w:szCs w:val="24"/>
          <w:highlight w:val="none"/>
        </w:rPr>
        <w:t>反馈、学生学习效果数据，持续优化教学内容与方法，最终实现 “以岗定学、以赛促练、以证提质、以德树人” 的培养目标，培育适应现代畜牧业发展的高素质技术技能人才。</w:t>
      </w:r>
    </w:p>
    <w:p w14:paraId="1E401C04">
      <w:pPr>
        <w:pStyle w:val="3"/>
        <w:bidi w:val="0"/>
        <w:rPr>
          <w:rFonts w:hint="eastAsia"/>
          <w:lang w:val="en-US" w:eastAsia="zh-CN"/>
        </w:rPr>
      </w:pPr>
      <w:r>
        <w:rPr>
          <w:rFonts w:hint="eastAsia"/>
          <w:lang w:val="en-US" w:eastAsia="zh-CN"/>
        </w:rPr>
        <w:t>四、课程目标</w:t>
      </w:r>
    </w:p>
    <w:p w14:paraId="03BE8049">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2AECFA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1.了解现代畜禽、水产养殖中主要环节（饲喂、饮水、环境控制、粪污处理、产品采集等）所使用设备与设施的基本类型、名称及其主要功能</w:t>
      </w:r>
      <w:r>
        <w:rPr>
          <w:rFonts w:hint="eastAsia" w:asciiTheme="minorEastAsia" w:hAnsiTheme="minorEastAsia" w:cstheme="minorEastAsia"/>
          <w:sz w:val="24"/>
          <w:szCs w:val="24"/>
          <w:lang w:val="en-US" w:eastAsia="zh-CN"/>
        </w:rPr>
        <w:t>；</w:t>
      </w:r>
    </w:p>
    <w:p w14:paraId="2F2EC5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2.熟悉关键养殖设备（如环境控制器、自动饲喂系统、挤奶机、孵化设备等）的基本工作原理、结构组成及其在保障动物健康、提升生产效率方面的核心作用</w:t>
      </w:r>
      <w:r>
        <w:rPr>
          <w:rFonts w:hint="eastAsia" w:asciiTheme="minorEastAsia" w:hAnsiTheme="minorEastAsia" w:cstheme="minorEastAsia"/>
          <w:sz w:val="24"/>
          <w:szCs w:val="24"/>
          <w:lang w:val="en-US" w:eastAsia="zh-CN"/>
        </w:rPr>
        <w:t>；</w:t>
      </w:r>
    </w:p>
    <w:p w14:paraId="0F99A7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3.掌握主要养殖设备的选型依据、配置原则及基本操作规程，能够根据特定的生产目标与条件，分析和比较不同设备方案的适用性与经济性</w:t>
      </w:r>
      <w:r>
        <w:rPr>
          <w:rFonts w:hint="eastAsia" w:asciiTheme="minorEastAsia" w:hAnsiTheme="minorEastAsia" w:cstheme="minorEastAsia"/>
          <w:sz w:val="24"/>
          <w:szCs w:val="24"/>
          <w:lang w:val="en-US" w:eastAsia="zh-CN"/>
        </w:rPr>
        <w:t>；</w:t>
      </w:r>
    </w:p>
    <w:p w14:paraId="0F9FF0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4.熟悉养殖设施与环境参数（温度、湿度、通风、光照）之间的调控关系，以及现代化设备在实现环境精准控制、保障动物福利方面的应用方法</w:t>
      </w:r>
      <w:r>
        <w:rPr>
          <w:rFonts w:hint="eastAsia" w:asciiTheme="minorEastAsia" w:hAnsiTheme="minorEastAsia" w:cstheme="minorEastAsia"/>
          <w:sz w:val="24"/>
          <w:szCs w:val="24"/>
          <w:lang w:val="en-US" w:eastAsia="zh-CN"/>
        </w:rPr>
        <w:t>；</w:t>
      </w:r>
    </w:p>
    <w:p w14:paraId="34107D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5.了解物联网、自动化控制等智能化技术在养殖设备集成中的应用概况，以及现代养殖设备向智能化、数字化发展的基本趋势</w:t>
      </w:r>
      <w:r>
        <w:rPr>
          <w:rFonts w:hint="eastAsia" w:asciiTheme="minorEastAsia" w:hAnsiTheme="minorEastAsia" w:cstheme="minorEastAsia"/>
          <w:sz w:val="24"/>
          <w:szCs w:val="24"/>
          <w:lang w:val="en-US" w:eastAsia="zh-CN"/>
        </w:rPr>
        <w:t>；</w:t>
      </w:r>
    </w:p>
    <w:p w14:paraId="605AE5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6.掌握养殖设备与设施日常管理、维护保养的基本知识，以及相关安全操作规范，能够识别常见运行故障并提出初步处理方案</w:t>
      </w:r>
      <w:r>
        <w:rPr>
          <w:rFonts w:hint="eastAsia" w:asciiTheme="minorEastAsia" w:hAnsiTheme="minorEastAsia" w:cstheme="minorEastAsia"/>
          <w:sz w:val="24"/>
          <w:szCs w:val="24"/>
          <w:lang w:val="en-US" w:eastAsia="zh-CN"/>
        </w:rPr>
        <w:t>；</w:t>
      </w:r>
    </w:p>
    <w:p w14:paraId="2A7A54E3">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026BE1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1.善用设备操作与调控，能够熟练操作主流的现代化养殖设备与中央控制系统，并能根据动物不同生长阶段的需求及环境变化，精准调控设备运行参数，以优化生产环境。</w:t>
      </w:r>
    </w:p>
    <w:p w14:paraId="4CC8B2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2.精通故障诊断与排除，能够运用专业知识与工具，现场诊断养殖设备运行中的常见机械、电气及控制故障，并提出或实施有效的排除方案，保障生产连续稳定。</w:t>
      </w:r>
    </w:p>
    <w:p w14:paraId="0B2E69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3.善用智能化系统进行生产管理，能够熟练操作养殖场物联网数据平台，利用其采集的环境、饲喂、生产性能等数据，进行初步分析与生产决策，实现精细化养殖管理。</w:t>
      </w:r>
    </w:p>
    <w:p w14:paraId="009086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4.精通设备维护保养规划，能够针对各类养殖设备的特点与使用要求，制定科学合理的日常维护、定期保养规程与计划，并能组织实施，以延长设备使用寿命。</w:t>
      </w:r>
    </w:p>
    <w:p w14:paraId="052586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5.善用综合评估与方案优化，能够对现有养殖设备设施体系的运行效能、能耗与经济性进行综合评估，并撰写评估报告，提出切实可行的技术改造或优化升级建议方案。</w:t>
      </w:r>
    </w:p>
    <w:p w14:paraId="620BE438">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3DDD5D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 环境保护与可持续发展的理念，使其在设备选用与管理中能自觉贯彻节能减排、资源循环利用的绿色养殖思想。</w:t>
      </w:r>
    </w:p>
    <w:p w14:paraId="5BA626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2.培养学生 对新工艺、新技术、新设备的敏锐性与开放性思维，具备通过技术革新优化养殖生产的创新意识和持续学习能力。</w:t>
      </w:r>
    </w:p>
    <w:p w14:paraId="52CD09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3.培养学生 在实际工作中的团队协作精神与有效沟通能力，使其能在设备操作、维护及生产管理中与他人协调配合，解决问题。</w:t>
      </w:r>
    </w:p>
    <w:p w14:paraId="1BB34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4.培养学生 严谨细致、精益求精的“工匠精神”，养成严格按照规程进行设备检查、维护和数据记录的良好职业习惯。</w:t>
      </w:r>
    </w:p>
    <w:p w14:paraId="56FF71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5.培养学生 尊重动物福利的职业道德，理解并认同通过改善设备设施条件来保障动物健康与福利的现代养殖伦理观。</w:t>
      </w:r>
    </w:p>
    <w:p w14:paraId="6D1AB0BC">
      <w:pPr>
        <w:bidi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53A435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1.职业道德：树立严谨细致、精益求精的工作态度，在设备操作与维护中养成高度负责、一丝不苟的职业习惯；</w:t>
      </w:r>
    </w:p>
    <w:p w14:paraId="6D0ADC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2.工匠精神：引导学生深刻领会并自觉追求精益求精、专注执着、追求卓越的“工匠精神”；</w:t>
      </w:r>
    </w:p>
    <w:p w14:paraId="0CA850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3.法治意识：明确在设备选型、操作及废弃物处理等环节中的法律责任，筑牢依法从业、合规经营的思想防线；</w:t>
      </w:r>
    </w:p>
    <w:p w14:paraId="3018DD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4.社会责任：强化学生对社会和人民的责任感，使其认识到现代化养殖设备是保障“菜篮子”产品稳定安全供给的重要物质基础；​</w:t>
      </w:r>
    </w:p>
    <w:p w14:paraId="0E2EF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5.家国情怀：激发学生的民族自豪感与时代使命感，通过介绍我国养殖装备从引进、仿制到自主创新、领先世界的发展历程，增强产业自信；​</w:t>
      </w:r>
    </w:p>
    <w:p w14:paraId="4BE2B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6.创新意识：引导学生认识创新是驱动产业升级的核心动力，激发其通过技术创新解决养殖业效率、环保、福利等瓶颈问题的志趣与担当；​</w:t>
      </w:r>
    </w:p>
    <w:p w14:paraId="24B82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7.生态文明：牢固树立“绿水青山就是金山银山”的生态理念，深刻理解养殖设备与设施在节能减排、资源循环、污染防控中的关键作用。</w:t>
      </w:r>
    </w:p>
    <w:p w14:paraId="0A9D08F6">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07"/>
        <w:gridCol w:w="1758"/>
        <w:gridCol w:w="2291"/>
        <w:gridCol w:w="1368"/>
        <w:gridCol w:w="1167"/>
      </w:tblGrid>
      <w:tr w14:paraId="3FD7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42" w:type="pct"/>
            <w:vAlign w:val="center"/>
          </w:tcPr>
          <w:p w14:paraId="3D409C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815" w:type="pct"/>
            <w:vAlign w:val="center"/>
          </w:tcPr>
          <w:p w14:paraId="6EAC50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92" w:type="pct"/>
            <w:vAlign w:val="center"/>
          </w:tcPr>
          <w:p w14:paraId="6908D3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62" w:type="pct"/>
            <w:vAlign w:val="center"/>
          </w:tcPr>
          <w:p w14:paraId="5D3CB1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94" w:type="pct"/>
            <w:vAlign w:val="center"/>
          </w:tcPr>
          <w:p w14:paraId="38A08B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2" w:type="pct"/>
            <w:vAlign w:val="center"/>
          </w:tcPr>
          <w:p w14:paraId="42F294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2C71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2" w:hRule="atLeast"/>
        </w:trPr>
        <w:tc>
          <w:tcPr>
            <w:tcW w:w="842" w:type="pct"/>
            <w:vAlign w:val="center"/>
          </w:tcPr>
          <w:p w14:paraId="00924C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第一章现代养殖场场址选择与规划</w:t>
            </w:r>
          </w:p>
        </w:tc>
        <w:tc>
          <w:tcPr>
            <w:tcW w:w="815" w:type="pct"/>
            <w:vAlign w:val="center"/>
          </w:tcPr>
          <w:p w14:paraId="0F7EB14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1.场址选择。</w:t>
            </w:r>
          </w:p>
          <w:p w14:paraId="2A3C042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2.养殖场的场区规划</w:t>
            </w:r>
          </w:p>
        </w:tc>
        <w:tc>
          <w:tcPr>
            <w:tcW w:w="892" w:type="pct"/>
            <w:vAlign w:val="center"/>
          </w:tcPr>
          <w:p w14:paraId="63D9B2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sz w:val="21"/>
                <w:szCs w:val="21"/>
                <w:lang w:val="en-US" w:eastAsia="zh-CN"/>
              </w:rPr>
              <w:t>1.</w:t>
            </w:r>
            <w:r>
              <w:rPr>
                <w:rFonts w:hint="eastAsia" w:ascii="宋体" w:hAnsi="宋体" w:eastAsia="宋体" w:cs="宋体"/>
                <w:sz w:val="21"/>
                <w:szCs w:val="21"/>
                <w:lang w:val="en-US" w:eastAsia="zh-CN"/>
              </w:rPr>
              <w:t>自然条件要素：社会与法规条件</w:t>
            </w:r>
          </w:p>
          <w:p w14:paraId="7056016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基础设施条件：电力、交通、通讯、粪污消纳地的可靠性与经济性评估。</w:t>
            </w:r>
          </w:p>
          <w:p w14:paraId="5BE8778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3.总平面布局：各功能区、建筑物、道路、绿化、防疫屏障的合理空间关系</w:t>
            </w:r>
          </w:p>
          <w:p w14:paraId="44148D3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1162" w:type="pct"/>
            <w:vAlign w:val="center"/>
          </w:tcPr>
          <w:p w14:paraId="332AF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1</w:t>
            </w:r>
            <w:r>
              <w:rPr>
                <w:rFonts w:hint="eastAsia" w:ascii="宋体" w:hAnsi="宋体" w:eastAsia="宋体" w:cs="宋体"/>
                <w:sz w:val="21"/>
                <w:szCs w:val="21"/>
                <w:lang w:val="en-US" w:eastAsia="zh-CN"/>
              </w:rPr>
              <w:t>.能实地勘察并分析拟选场址的自然条件适宜性。</w:t>
            </w:r>
          </w:p>
          <w:p w14:paraId="593B9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查阅相关法规，初步判定选址的合法性与防疫合规性。</w:t>
            </w:r>
          </w:p>
          <w:p w14:paraId="275BF7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能调查并评估选址周边的基础设施配套情况。</w:t>
            </w:r>
          </w:p>
          <w:p w14:paraId="4CE3BC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3.能根据给定条件和主导风向，绘制符合生物安全要求的功能分区示意图并合理标注主要设备系统的预埋管线与核心设备安装位置</w:t>
            </w:r>
          </w:p>
          <w:p w14:paraId="4222CD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p w14:paraId="6E89FB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94" w:type="pct"/>
            <w:shd w:val="clear" w:color="auto" w:fill="auto"/>
            <w:vAlign w:val="center"/>
          </w:tcPr>
          <w:p w14:paraId="443A9AA7">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家国情怀</w:t>
            </w:r>
          </w:p>
          <w:p w14:paraId="4B231A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1"/>
                <w:lang w:val="en-US" w:eastAsia="zh-CN" w:bidi="ar-SA"/>
              </w:rPr>
            </w:pPr>
            <w:r>
              <w:rPr>
                <w:rFonts w:ascii="宋体" w:hAnsi="宋体" w:eastAsia="宋体" w:cs="宋体"/>
                <w:sz w:val="21"/>
                <w:szCs w:val="21"/>
              </w:rPr>
              <w:t>职业规划</w:t>
            </w:r>
          </w:p>
        </w:tc>
        <w:tc>
          <w:tcPr>
            <w:tcW w:w="592" w:type="pct"/>
            <w:shd w:val="clear" w:color="auto" w:fill="auto"/>
            <w:vAlign w:val="center"/>
          </w:tcPr>
          <w:p w14:paraId="7A068E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6E2F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57A70E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第二章畜舍的 设计与建造</w:t>
            </w:r>
          </w:p>
        </w:tc>
        <w:tc>
          <w:tcPr>
            <w:tcW w:w="815" w:type="pct"/>
            <w:vAlign w:val="center"/>
          </w:tcPr>
          <w:p w14:paraId="11D4146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1.畜禽舍的结构类型</w:t>
            </w:r>
          </w:p>
          <w:p w14:paraId="2E9AB1E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2.畜禽舍地面与外围护结构</w:t>
            </w:r>
          </w:p>
          <w:p w14:paraId="06202E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畜禽舍的建筑设计</w:t>
            </w:r>
          </w:p>
          <w:p w14:paraId="3E6F6AC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3.畜禽舍的环境控制设计</w:t>
            </w:r>
          </w:p>
          <w:p w14:paraId="3E72996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4.畜禽舍的水电设计</w:t>
            </w:r>
          </w:p>
        </w:tc>
        <w:tc>
          <w:tcPr>
            <w:tcW w:w="892" w:type="pct"/>
            <w:vAlign w:val="center"/>
          </w:tcPr>
          <w:p w14:paraId="600E9D7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不同结构类型（开放式、半开放式、封闭式等）特点及适用场景。</w:t>
            </w:r>
          </w:p>
          <w:p w14:paraId="3C62AF5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不同地面材料（水泥、漏缝地板等）特性、优缺点及选择依据。</w:t>
            </w:r>
          </w:p>
          <w:p w14:paraId="6F4CE0D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墙体、屋顶、门窗等外围护结构保温、隔热、防潮设计及材料选择。</w:t>
            </w:r>
          </w:p>
          <w:p w14:paraId="672055B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环境控制系统与建筑结构一体化整合设计。</w:t>
            </w:r>
          </w:p>
          <w:p w14:paraId="5DDCA28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畜禽舍内给排水管路、电力线路、照明系统规划与安全设计规范。</w:t>
            </w:r>
          </w:p>
          <w:p w14:paraId="73CE369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 水电设计配合自动化设备安装及未来维护的方法。</w:t>
            </w:r>
          </w:p>
        </w:tc>
        <w:tc>
          <w:tcPr>
            <w:tcW w:w="1162" w:type="pct"/>
            <w:vAlign w:val="center"/>
          </w:tcPr>
          <w:p w14:paraId="56EB1AB6">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1.依据地区气候与生产模式选适宜畜禽舍结构，对比优缺点并绘示意图。</w:t>
            </w:r>
          </w:p>
          <w:p w14:paraId="7DF51A4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2.按养殖动物种类和清粪工艺选地面材料构造，识读外围护结构施工图并评估保温隔热设计。</w:t>
            </w:r>
          </w:p>
          <w:p w14:paraId="4101D82D">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3.根据畜禽舍尺寸与饲养密度算基础通风量和光照强度，在设计图中标注环控设备安装位置与管线预埋要求。</w:t>
            </w:r>
          </w:p>
          <w:p w14:paraId="51B12DF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4.绘制畜禽舍水电管线布局平面图且遵循安全规范，根据设备清单为自动化系统规划独立电源回路与给水点。</w:t>
            </w:r>
          </w:p>
        </w:tc>
        <w:tc>
          <w:tcPr>
            <w:tcW w:w="694" w:type="pct"/>
            <w:shd w:val="clear" w:color="auto" w:fill="auto"/>
            <w:vAlign w:val="center"/>
          </w:tcPr>
          <w:p w14:paraId="5F6C048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职业道德</w:t>
            </w:r>
          </w:p>
          <w:p w14:paraId="3F65E35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6212DA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法治意识</w:t>
            </w:r>
          </w:p>
        </w:tc>
        <w:tc>
          <w:tcPr>
            <w:tcW w:w="592" w:type="pct"/>
            <w:shd w:val="clear" w:color="auto" w:fill="auto"/>
            <w:vAlign w:val="center"/>
          </w:tcPr>
          <w:p w14:paraId="1CAC3F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4618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31ABB6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第三章畜禽的道路</w:t>
            </w:r>
          </w:p>
        </w:tc>
        <w:tc>
          <w:tcPr>
            <w:tcW w:w="815" w:type="pct"/>
            <w:vAlign w:val="center"/>
          </w:tcPr>
          <w:p w14:paraId="5720A1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1.道路分类和组成</w:t>
            </w:r>
          </w:p>
          <w:p w14:paraId="307CBC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2.路基、路面及道路附属设施</w:t>
            </w:r>
          </w:p>
          <w:p w14:paraId="066E9FC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场区道路的规划布置</w:t>
            </w:r>
          </w:p>
          <w:p w14:paraId="2CA2F24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3.场内绿化</w:t>
            </w:r>
          </w:p>
          <w:p w14:paraId="5D96EDE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4.畜禽场的大门设计</w:t>
            </w:r>
          </w:p>
          <w:p w14:paraId="6877598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p>
        </w:tc>
        <w:tc>
          <w:tcPr>
            <w:tcW w:w="892" w:type="pct"/>
            <w:vAlign w:val="center"/>
          </w:tcPr>
          <w:p w14:paraId="60996E9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1.场内道路分主干道等四类，各有特定功能要求。</w:t>
            </w:r>
          </w:p>
          <w:p w14:paraId="3DA809C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2.道路由路基、路面和排水系统基本结构组成。</w:t>
            </w:r>
          </w:p>
          <w:p w14:paraId="2C749A6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3.依生产工艺与生物安全规划环状或枝状道路网络。</w:t>
            </w:r>
          </w:p>
          <w:p w14:paraId="4B68917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4.人员车辆出入口分离设计并配套消毒设施管控。</w:t>
            </w:r>
          </w:p>
        </w:tc>
        <w:tc>
          <w:tcPr>
            <w:tcW w:w="1162" w:type="pct"/>
            <w:vAlign w:val="center"/>
          </w:tcPr>
          <w:p w14:paraId="530225E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1.识别标注道路类型；2.推荐道路材料；3.设计道路网络简图；4.评估改进道路规划；5.规划防疫绿化带；6.推荐绿化树种；7.设计大门消毒布局；8.制定消毒管理流程</w:t>
            </w:r>
          </w:p>
        </w:tc>
        <w:tc>
          <w:tcPr>
            <w:tcW w:w="694" w:type="pct"/>
            <w:shd w:val="clear" w:color="auto" w:fill="auto"/>
            <w:vAlign w:val="center"/>
          </w:tcPr>
          <w:p w14:paraId="13EB3B3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职业道德</w:t>
            </w:r>
          </w:p>
          <w:p w14:paraId="7052FF9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508F32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创新意识</w:t>
            </w:r>
          </w:p>
        </w:tc>
        <w:tc>
          <w:tcPr>
            <w:tcW w:w="592" w:type="pct"/>
            <w:shd w:val="clear" w:color="auto" w:fill="auto"/>
            <w:vAlign w:val="center"/>
          </w:tcPr>
          <w:p w14:paraId="62FEB9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r>
              <w:rPr>
                <w:rFonts w:ascii="宋体" w:hAnsi="宋体" w:eastAsia="宋体" w:cs="宋体"/>
                <w:sz w:val="21"/>
                <w:szCs w:val="21"/>
              </w:rPr>
              <w:t xml:space="preserve"> 实践</w:t>
            </w:r>
            <w:r>
              <w:rPr>
                <w:rFonts w:hint="eastAsia" w:ascii="宋体" w:hAnsi="宋体" w:eastAsia="宋体" w:cs="宋体"/>
                <w:sz w:val="21"/>
                <w:szCs w:val="21"/>
                <w:lang w:val="en-US" w:eastAsia="zh-CN"/>
              </w:rPr>
              <w:t>2</w:t>
            </w:r>
          </w:p>
        </w:tc>
      </w:tr>
      <w:tr w14:paraId="2EA3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5B0D99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第四章畜禽场的排污设计</w:t>
            </w:r>
          </w:p>
        </w:tc>
        <w:tc>
          <w:tcPr>
            <w:tcW w:w="815" w:type="pct"/>
            <w:vAlign w:val="center"/>
          </w:tcPr>
          <w:p w14:paraId="0ACC98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1.畜禽场粪便收集</w:t>
            </w:r>
          </w:p>
          <w:p w14:paraId="12D930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2.粪污储存设施</w:t>
            </w:r>
          </w:p>
          <w:p w14:paraId="34D44D2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场内排水系统</w:t>
            </w:r>
          </w:p>
        </w:tc>
        <w:tc>
          <w:tcPr>
            <w:tcW w:w="892" w:type="pct"/>
            <w:vAlign w:val="center"/>
          </w:tcPr>
          <w:p w14:paraId="6F34E05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1.储粪池、沼气发酵罐、氧化塘等储存设施的结构、容积计算和防渗要求。储存设施的位置选择及安全防护措施；</w:t>
            </w:r>
          </w:p>
          <w:p w14:paraId="2A0631A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2.雨污分流系统的设计原理与管网布置。 污水管网的坡度、管径计算及检查井的设置。</w:t>
            </w:r>
          </w:p>
        </w:tc>
        <w:tc>
          <w:tcPr>
            <w:tcW w:w="1162" w:type="pct"/>
            <w:vAlign w:val="center"/>
          </w:tcPr>
          <w:p w14:paraId="1C2409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能根据存栏量、清粪周期等参数，初步计算所需粪污储存设施的最小容积。在总平面图上根据主导风向和地势，合理布置粪污储存设施的位置。</w:t>
            </w:r>
          </w:p>
          <w:p w14:paraId="70B759FB">
            <w:pPr>
              <w:jc w:val="center"/>
              <w:rPr>
                <w:rFonts w:hint="eastAsia"/>
                <w:sz w:val="21"/>
                <w:szCs w:val="21"/>
                <w:lang w:val="en-US" w:eastAsia="zh-CN"/>
              </w:rPr>
            </w:pPr>
            <w:r>
              <w:rPr>
                <w:rFonts w:hint="eastAsia" w:ascii="宋体" w:hAnsi="宋体" w:eastAsia="宋体" w:cs="宋体"/>
                <w:sz w:val="21"/>
                <w:szCs w:val="21"/>
                <w:lang w:val="en-US" w:eastAsia="zh-CN"/>
              </w:rPr>
              <w:t>2.</w:t>
            </w:r>
            <w:r>
              <w:rPr>
                <w:rFonts w:hint="eastAsia"/>
                <w:sz w:val="21"/>
                <w:szCs w:val="21"/>
                <w:lang w:val="en-US" w:eastAsia="zh-CN"/>
              </w:rPr>
              <w:t>能设计一个简单的场区雨污分流管网布置示意图并能根据汇水面积，估算排水管径并确定合理的排水坡度。</w:t>
            </w:r>
          </w:p>
          <w:p w14:paraId="66C80C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p>
        </w:tc>
        <w:tc>
          <w:tcPr>
            <w:tcW w:w="694" w:type="pct"/>
            <w:shd w:val="clear" w:color="auto" w:fill="auto"/>
            <w:vAlign w:val="center"/>
          </w:tcPr>
          <w:p w14:paraId="335FB68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工匠精神</w:t>
            </w:r>
          </w:p>
          <w:p w14:paraId="1C6A3CF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严谨细致</w:t>
            </w:r>
          </w:p>
          <w:p w14:paraId="1F1400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环保意识</w:t>
            </w:r>
          </w:p>
        </w:tc>
        <w:tc>
          <w:tcPr>
            <w:tcW w:w="592" w:type="pct"/>
            <w:shd w:val="clear" w:color="auto" w:fill="auto"/>
            <w:vAlign w:val="center"/>
          </w:tcPr>
          <w:p w14:paraId="3AADA7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4E5B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602079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第五章畜禽场卫生防疫设施与设备</w:t>
            </w:r>
          </w:p>
        </w:tc>
        <w:tc>
          <w:tcPr>
            <w:tcW w:w="815" w:type="pct"/>
            <w:vAlign w:val="center"/>
          </w:tcPr>
          <w:p w14:paraId="19BAE23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1.隔离设施</w:t>
            </w:r>
          </w:p>
          <w:p w14:paraId="7955409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2.消毒设施与设备</w:t>
            </w:r>
          </w:p>
          <w:p w14:paraId="5596A96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3.污物无害化处理设施</w:t>
            </w:r>
          </w:p>
          <w:p w14:paraId="6BCE207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4.疫病监控设备</w:t>
            </w:r>
          </w:p>
          <w:p w14:paraId="54F85B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5.免疫接种设备</w:t>
            </w:r>
          </w:p>
          <w:p w14:paraId="5B1CD5F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投药设备</w:t>
            </w:r>
          </w:p>
        </w:tc>
        <w:tc>
          <w:tcPr>
            <w:tcW w:w="892" w:type="pct"/>
            <w:vAlign w:val="center"/>
          </w:tcPr>
          <w:p w14:paraId="357E063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1.场内场外隔离舍布局结构及管理要求</w:t>
            </w:r>
          </w:p>
          <w:p w14:paraId="472831B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2.车辆消毒池等设施的结构与标准</w:t>
            </w:r>
          </w:p>
          <w:p w14:paraId="448AE05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3.高压清洗机等消毒设备工作原理与选用</w:t>
            </w:r>
          </w:p>
          <w:p w14:paraId="19A090E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4.病死动物无害化处理设备原理与操作规范</w:t>
            </w:r>
          </w:p>
          <w:p w14:paraId="39B5132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5.医疗废弃物处理流程与设备要求</w:t>
            </w:r>
          </w:p>
          <w:p w14:paraId="423D139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6.连续注射器等设备结构与操作要点</w:t>
            </w:r>
          </w:p>
          <w:p w14:paraId="4357E35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7.免疫投药方式对应设备选型与管理</w:t>
            </w:r>
          </w:p>
        </w:tc>
        <w:tc>
          <w:tcPr>
            <w:tcW w:w="1162" w:type="pct"/>
            <w:vAlign w:val="center"/>
          </w:tcPr>
          <w:p w14:paraId="3165C62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1.正确在场区规划图布置隔离区，确保与生产区有效物理隔离。</w:t>
            </w:r>
          </w:p>
          <w:p w14:paraId="6DDCB4F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2.列出隔离设施日常管理基本要点，保障隔离效果与设施完好。</w:t>
            </w:r>
          </w:p>
          <w:p w14:paraId="7EC2AAD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3.规范操作高压清洗机等设备消毒指定区域，确保消毒彻底。</w:t>
            </w:r>
          </w:p>
          <w:p w14:paraId="3749633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4.根据车辆、人员、空舍等不同消毒对象，选择合适消毒方法、设备并配制消毒液。</w:t>
            </w:r>
          </w:p>
          <w:p w14:paraId="4F09FD0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5.描述化尸池、发酵罐等处理设施安全操作流程，确保操作安全规范。</w:t>
            </w:r>
          </w:p>
          <w:p w14:paraId="67BAC16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6.对病死动物及医疗废弃物分类，执行正确移交或处理程序。</w:t>
            </w:r>
          </w:p>
          <w:p w14:paraId="68BFB61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7.熟练使用连续注射器进行动物免疫接种，规范处理针头。</w:t>
            </w:r>
          </w:p>
          <w:p w14:paraId="246D27F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8.操作饮水投药系统，准确计算药物添加量，确保浓度精准。</w:t>
            </w:r>
          </w:p>
        </w:tc>
        <w:tc>
          <w:tcPr>
            <w:tcW w:w="694" w:type="pct"/>
            <w:shd w:val="clear" w:color="auto" w:fill="auto"/>
            <w:vAlign w:val="center"/>
          </w:tcPr>
          <w:p w14:paraId="1190011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环保意识</w:t>
            </w:r>
          </w:p>
          <w:p w14:paraId="513603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应急处置</w:t>
            </w:r>
          </w:p>
        </w:tc>
        <w:tc>
          <w:tcPr>
            <w:tcW w:w="592" w:type="pct"/>
            <w:shd w:val="clear" w:color="auto" w:fill="auto"/>
            <w:vAlign w:val="center"/>
          </w:tcPr>
          <w:p w14:paraId="2E3599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4</w:t>
            </w:r>
            <w:r>
              <w:rPr>
                <w:rFonts w:ascii="宋体" w:hAnsi="宋体" w:eastAsia="宋体" w:cs="宋体"/>
                <w:sz w:val="21"/>
                <w:szCs w:val="21"/>
              </w:rPr>
              <w:t>实践</w:t>
            </w:r>
            <w:r>
              <w:rPr>
                <w:rFonts w:hint="eastAsia" w:ascii="宋体" w:hAnsi="宋体" w:eastAsia="宋体" w:cs="宋体"/>
                <w:sz w:val="21"/>
                <w:szCs w:val="21"/>
                <w:lang w:val="en-US" w:eastAsia="zh-CN"/>
              </w:rPr>
              <w:t>2</w:t>
            </w:r>
          </w:p>
        </w:tc>
      </w:tr>
      <w:tr w14:paraId="3152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5925F6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第六章畜禽场环境控制设备</w:t>
            </w:r>
          </w:p>
        </w:tc>
        <w:tc>
          <w:tcPr>
            <w:tcW w:w="815" w:type="pct"/>
            <w:vAlign w:val="center"/>
          </w:tcPr>
          <w:p w14:paraId="7E5DFE5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1.温度控制设备</w:t>
            </w:r>
          </w:p>
          <w:p w14:paraId="0428293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2.光照控制设备</w:t>
            </w:r>
          </w:p>
          <w:p w14:paraId="108D081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3.通风设备与温度控制</w:t>
            </w:r>
          </w:p>
        </w:tc>
        <w:tc>
          <w:tcPr>
            <w:tcW w:w="892" w:type="pct"/>
            <w:vAlign w:val="center"/>
          </w:tcPr>
          <w:p w14:paraId="49CB2B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降温设备与加温设备的工作原理、配置与调控。</w:t>
            </w:r>
          </w:p>
          <w:p w14:paraId="34DABF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智能温控系统的组成与联动逻辑。</w:t>
            </w:r>
          </w:p>
          <w:p w14:paraId="791D83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人工光照系统的光源选择、灯具布局与光照程序设定。</w:t>
            </w:r>
          </w:p>
          <w:p w14:paraId="21DEBA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4.光照自动控制器的原理与使用。</w:t>
            </w:r>
          </w:p>
          <w:p w14:paraId="202911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5.纵向通风、横向通风等模式的风机选型与布局计算。</w:t>
            </w:r>
          </w:p>
          <w:p w14:paraId="7D83CD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 通风与湿度控制的关联，及除湿/加湿设备的应用。</w:t>
            </w:r>
          </w:p>
        </w:tc>
        <w:tc>
          <w:tcPr>
            <w:tcW w:w="1162" w:type="pct"/>
            <w:vAlign w:val="center"/>
          </w:tcPr>
          <w:p w14:paraId="494D75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1.能根据季节变化，手动或通过控制器设定并调控风机、湿帘等设备的运行参数。</w:t>
            </w:r>
          </w:p>
          <w:p w14:paraId="379C44D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能对温控设备进行日常检查，并能识别常见故障。</w:t>
            </w:r>
          </w:p>
          <w:p w14:paraId="07CB7EC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能根据养殖品种和生长阶段，在光照控制器上设置合理的光照时间和强度程序。</w:t>
            </w:r>
          </w:p>
          <w:p w14:paraId="26C1E6D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能更换损坏的灯具，并检查线路连接是否安全。</w:t>
            </w:r>
          </w:p>
          <w:p w14:paraId="6F13822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能根据畜禽舍的规格和饲养量，估算所需的最小通风量，并初步布置风机位置。</w:t>
            </w:r>
          </w:p>
          <w:p w14:paraId="374796B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 能通过调节通风量，辅助控制舍内湿度，并操作除湿机等专用设备。</w:t>
            </w:r>
          </w:p>
        </w:tc>
        <w:tc>
          <w:tcPr>
            <w:tcW w:w="694" w:type="pct"/>
            <w:shd w:val="clear" w:color="auto" w:fill="auto"/>
            <w:vAlign w:val="center"/>
          </w:tcPr>
          <w:p w14:paraId="4A7A47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工匠精神</w:t>
            </w:r>
          </w:p>
        </w:tc>
        <w:tc>
          <w:tcPr>
            <w:tcW w:w="592" w:type="pct"/>
            <w:shd w:val="clear" w:color="auto" w:fill="auto"/>
            <w:vAlign w:val="center"/>
          </w:tcPr>
          <w:p w14:paraId="187921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2</w:t>
            </w:r>
          </w:p>
          <w:p w14:paraId="19CF97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5AE9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05FF19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第七章供水与饮水设备</w:t>
            </w:r>
          </w:p>
        </w:tc>
        <w:tc>
          <w:tcPr>
            <w:tcW w:w="815" w:type="pct"/>
            <w:vAlign w:val="center"/>
          </w:tcPr>
          <w:p w14:paraId="00BEA07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1.供水系统</w:t>
            </w:r>
          </w:p>
          <w:p w14:paraId="18138C8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2.饮水系统</w:t>
            </w:r>
          </w:p>
        </w:tc>
        <w:tc>
          <w:tcPr>
            <w:tcW w:w="892" w:type="pct"/>
            <w:vAlign w:val="center"/>
          </w:tcPr>
          <w:p w14:paraId="46D0FF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1.水源净化、水塔、压力罐、输配水管网的构成与设计。水压、水量保障及水质监测设备。</w:t>
            </w:r>
          </w:p>
          <w:p w14:paraId="52F9D5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不同饮水器的特点、安装高度与水压要求。 循环热水饮水线、加药器等特殊饮水设备。</w:t>
            </w:r>
          </w:p>
        </w:tc>
        <w:tc>
          <w:tcPr>
            <w:tcW w:w="1162" w:type="pct"/>
            <w:vAlign w:val="center"/>
          </w:tcPr>
          <w:p w14:paraId="69D62B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能读懂供水系统管网图，并能完成管道、过滤器的简单清洗与更换。</w:t>
            </w:r>
          </w:p>
          <w:p w14:paraId="70CBCE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水质快速检测设备（如试纸、便携仪）对饮用水进行常规指标检测。</w:t>
            </w:r>
          </w:p>
          <w:p w14:paraId="0FB51A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2.能根据动物日龄调整饮水器安装高度，并检测水压是否适宜。对饮水管线进行日常冲洗和消毒，并排除乳头饮水器堵塞等常见故障。</w:t>
            </w:r>
          </w:p>
        </w:tc>
        <w:tc>
          <w:tcPr>
            <w:tcW w:w="694" w:type="pct"/>
            <w:shd w:val="clear" w:color="auto" w:fill="auto"/>
            <w:vAlign w:val="center"/>
          </w:tcPr>
          <w:p w14:paraId="01E6DC8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社会责任</w:t>
            </w:r>
          </w:p>
          <w:p w14:paraId="509A25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职业素养</w:t>
            </w:r>
          </w:p>
        </w:tc>
        <w:tc>
          <w:tcPr>
            <w:tcW w:w="592" w:type="pct"/>
            <w:shd w:val="clear" w:color="auto" w:fill="auto"/>
            <w:vAlign w:val="center"/>
          </w:tcPr>
          <w:p w14:paraId="0C428A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508A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2CEF37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第八章畜禽场投喂料设备</w:t>
            </w:r>
          </w:p>
        </w:tc>
        <w:tc>
          <w:tcPr>
            <w:tcW w:w="815" w:type="pct"/>
            <w:vAlign w:val="center"/>
          </w:tcPr>
          <w:p w14:paraId="286B736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1.养鸡场喂料设备</w:t>
            </w:r>
          </w:p>
          <w:p w14:paraId="0BDD07C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2.养猪场喂料设备</w:t>
            </w:r>
          </w:p>
          <w:p w14:paraId="7FAD50E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3.牛羊场喂料设备</w:t>
            </w:r>
          </w:p>
          <w:p w14:paraId="57F42BF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p>
        </w:tc>
        <w:tc>
          <w:tcPr>
            <w:tcW w:w="892" w:type="pct"/>
            <w:vAlign w:val="center"/>
          </w:tcPr>
          <w:p w14:paraId="79D6D0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链式、塞盘式、行车式喂料机及自动喂料控制系统的组成与工作流程。</w:t>
            </w:r>
          </w:p>
          <w:p w14:paraId="13AE1C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2干料自动输送线、液态饲喂系统、母猪电子饲喂站的结构与智能化管理。</w:t>
            </w:r>
          </w:p>
          <w:p w14:paraId="5D0529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3.TMR搅拌车、固定式搅拌站、撒料车的工作原理与精准饲喂技术。</w:t>
            </w:r>
          </w:p>
        </w:tc>
        <w:tc>
          <w:tcPr>
            <w:tcW w:w="1162" w:type="pct"/>
            <w:vAlign w:val="center"/>
          </w:tcPr>
          <w:p w14:paraId="58A57C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1.能操作和维护一种常见类型的养鸡场喂料设备，包括启动、调节料位、日常清理等。</w:t>
            </w:r>
          </w:p>
          <w:p w14:paraId="2F2FBC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能判断并处理饲料堵塞、链条跑偏等常见运行故障。</w:t>
            </w:r>
          </w:p>
          <w:p w14:paraId="7B2C2D29">
            <w:pPr>
              <w:keepNext w:val="0"/>
              <w:keepLines w:val="0"/>
              <w:pageBreakBefore w:val="0"/>
              <w:widowControl w:val="0"/>
              <w:numPr>
                <w:ilvl w:val="0"/>
                <w:numId w:val="4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能操作母猪电子饲喂站，为个体母猪设定并调整饲喂量。 能对干料输送线进行日常巡检，检查绞龙、电机运行状态。</w:t>
            </w:r>
          </w:p>
          <w:p w14:paraId="239CC5F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3.能按照配方，使用TMR搅拌车完成日粮的配制与搅拌操作。 能驾驶或操作撒料车，将饲料均匀投放至饲喂通道。</w:t>
            </w:r>
          </w:p>
        </w:tc>
        <w:tc>
          <w:tcPr>
            <w:tcW w:w="694" w:type="pct"/>
            <w:shd w:val="clear" w:color="auto" w:fill="auto"/>
            <w:vAlign w:val="center"/>
          </w:tcPr>
          <w:p w14:paraId="6C49153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社会责任</w:t>
            </w:r>
          </w:p>
          <w:p w14:paraId="724DCE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职业素养</w:t>
            </w:r>
          </w:p>
        </w:tc>
        <w:tc>
          <w:tcPr>
            <w:tcW w:w="592" w:type="pct"/>
            <w:shd w:val="clear" w:color="auto" w:fill="auto"/>
            <w:vAlign w:val="center"/>
          </w:tcPr>
          <w:p w14:paraId="7B715F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p>
          <w:p w14:paraId="75A74F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实践</w:t>
            </w:r>
            <w:r>
              <w:rPr>
                <w:rFonts w:hint="eastAsia" w:ascii="宋体" w:hAnsi="宋体" w:eastAsia="宋体" w:cs="宋体"/>
                <w:sz w:val="21"/>
                <w:szCs w:val="21"/>
                <w:lang w:val="en-US" w:eastAsia="zh-CN"/>
              </w:rPr>
              <w:t>2</w:t>
            </w:r>
          </w:p>
        </w:tc>
      </w:tr>
      <w:tr w14:paraId="425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72E293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第九章清粪设备与设施</w:t>
            </w:r>
          </w:p>
        </w:tc>
        <w:tc>
          <w:tcPr>
            <w:tcW w:w="815" w:type="pct"/>
            <w:vAlign w:val="center"/>
          </w:tcPr>
          <w:p w14:paraId="5AB7A48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1.地面和地板</w:t>
            </w:r>
          </w:p>
          <w:p w14:paraId="67E4E8C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2.清粪设备</w:t>
            </w:r>
          </w:p>
          <w:p w14:paraId="5C62102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3.清粪设施</w:t>
            </w:r>
          </w:p>
        </w:tc>
        <w:tc>
          <w:tcPr>
            <w:tcW w:w="892" w:type="pct"/>
            <w:vAlign w:val="center"/>
          </w:tcPr>
          <w:p w14:paraId="20BD05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1刮板式、传送带式、V型刮粪机等设备的机械结构与动力系统。</w:t>
            </w:r>
          </w:p>
          <w:p w14:paraId="29B015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设备安装的坡度、牵引力计算与日常维护要点。</w:t>
            </w:r>
          </w:p>
        </w:tc>
        <w:tc>
          <w:tcPr>
            <w:tcW w:w="1162" w:type="pct"/>
            <w:vAlign w:val="center"/>
          </w:tcPr>
          <w:p w14:paraId="7CB81A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能规范操作一种清粪设备，完成日常清粪作业。</w:t>
            </w:r>
          </w:p>
          <w:p w14:paraId="5DA2D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能对清粪设备进行日常保养（如润滑、紧固），并能识别钢丝绳磨损、刮板变形等常见问题。</w:t>
            </w:r>
          </w:p>
        </w:tc>
        <w:tc>
          <w:tcPr>
            <w:tcW w:w="694" w:type="pct"/>
            <w:shd w:val="clear" w:color="auto" w:fill="auto"/>
            <w:vAlign w:val="center"/>
          </w:tcPr>
          <w:p w14:paraId="656CDD6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团队协作</w:t>
            </w:r>
          </w:p>
          <w:p w14:paraId="77B24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专业素养</w:t>
            </w:r>
          </w:p>
        </w:tc>
        <w:tc>
          <w:tcPr>
            <w:tcW w:w="592" w:type="pct"/>
            <w:shd w:val="clear" w:color="auto" w:fill="auto"/>
            <w:vAlign w:val="center"/>
          </w:tcPr>
          <w:p w14:paraId="5DE707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r w14:paraId="4F69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24236F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第十章畜禽专用设备</w:t>
            </w:r>
          </w:p>
        </w:tc>
        <w:tc>
          <w:tcPr>
            <w:tcW w:w="815" w:type="pct"/>
            <w:vAlign w:val="center"/>
          </w:tcPr>
          <w:p w14:paraId="13AF9F0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1.禽场专用设备</w:t>
            </w:r>
          </w:p>
          <w:p w14:paraId="3E0C32E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2.猪场专用设备</w:t>
            </w:r>
          </w:p>
          <w:p w14:paraId="30DA65A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3.牛羊场专用设备</w:t>
            </w:r>
          </w:p>
          <w:p w14:paraId="76F3295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p w14:paraId="67295E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p>
        </w:tc>
        <w:tc>
          <w:tcPr>
            <w:tcW w:w="892" w:type="pct"/>
            <w:vAlign w:val="center"/>
          </w:tcPr>
          <w:p w14:paraId="7D0062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孵化设备、鸡蛋收集与分拣设备、肉鸡自动捕捉设备等。</w:t>
            </w:r>
          </w:p>
          <w:p w14:paraId="3354FC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母猪产床、保育栏、种猪测定站、自动分群系统等。</w:t>
            </w:r>
          </w:p>
          <w:p w14:paraId="11BD56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挤奶厅设备（并列式、转盘式）、犊牛饲喂机、修蹄架等。</w:t>
            </w:r>
          </w:p>
        </w:tc>
        <w:tc>
          <w:tcPr>
            <w:tcW w:w="1162" w:type="pct"/>
            <w:vAlign w:val="center"/>
          </w:tcPr>
          <w:p w14:paraId="3D240423">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能描述孵化机的日常管理要点。能操作自动集蛋系统，并进行简单的故障复位。</w:t>
            </w:r>
          </w:p>
          <w:p w14:paraId="768149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能正确组装和调试母猪产床上的保温灯、护仔栏等附属设备。能操作种猪自动测定站，完成个体猪只的身份识别与数据采集。</w:t>
            </w:r>
          </w:p>
          <w:p w14:paraId="5EEDF394">
            <w:pPr>
              <w:keepNext w:val="0"/>
              <w:keepLines w:val="0"/>
              <w:pageBreakBefore w:val="0"/>
              <w:widowControl w:val="0"/>
              <w:numPr>
                <w:ilvl w:val="0"/>
                <w:numId w:val="40"/>
              </w:numPr>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能完成挤奶厅设备使用前的准备工作。能操作自动犊牛饲喂机，完成奶量的设定与喂养。</w:t>
            </w:r>
          </w:p>
          <w:p w14:paraId="0B944F7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p w14:paraId="411B1F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94" w:type="pct"/>
            <w:vAlign w:val="center"/>
          </w:tcPr>
          <w:p w14:paraId="393C1334">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1"/>
                <w:szCs w:val="21"/>
              </w:rPr>
            </w:pPr>
            <w:r>
              <w:rPr>
                <w:rFonts w:ascii="宋体" w:hAnsi="宋体" w:eastAsia="宋体" w:cs="宋体"/>
                <w:sz w:val="21"/>
                <w:szCs w:val="21"/>
              </w:rPr>
              <w:t>责任担当</w:t>
            </w:r>
          </w:p>
          <w:p w14:paraId="4B625A95">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592" w:type="pct"/>
            <w:vAlign w:val="center"/>
          </w:tcPr>
          <w:p w14:paraId="1314D5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4</w:t>
            </w:r>
          </w:p>
          <w:p w14:paraId="7A2478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实践</w:t>
            </w:r>
            <w:r>
              <w:rPr>
                <w:rFonts w:hint="eastAsia" w:ascii="宋体" w:hAnsi="宋体" w:eastAsia="宋体" w:cs="宋体"/>
                <w:sz w:val="21"/>
                <w:szCs w:val="21"/>
                <w:lang w:val="en-US" w:eastAsia="zh-CN"/>
              </w:rPr>
              <w:t>2</w:t>
            </w:r>
          </w:p>
        </w:tc>
      </w:tr>
      <w:tr w14:paraId="32EB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51000A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第十一章畜禽场管理设备</w:t>
            </w:r>
          </w:p>
        </w:tc>
        <w:tc>
          <w:tcPr>
            <w:tcW w:w="815" w:type="pct"/>
            <w:vAlign w:val="center"/>
          </w:tcPr>
          <w:p w14:paraId="3EAC690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1.监控设备</w:t>
            </w:r>
          </w:p>
          <w:p w14:paraId="38FCAD6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2.档案管理设备</w:t>
            </w:r>
          </w:p>
        </w:tc>
        <w:tc>
          <w:tcPr>
            <w:tcW w:w="892" w:type="pct"/>
            <w:vAlign w:val="center"/>
          </w:tcPr>
          <w:p w14:paraId="27222F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环境传感器网络、视频监控系统、个体识别设备。</w:t>
            </w:r>
          </w:p>
          <w:p w14:paraId="12CC67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中央控制室的硬件构成与数据集成显示。</w:t>
            </w:r>
          </w:p>
          <w:p w14:paraId="42439F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2生产管理软件、手持终端及配套的数据采集与备份设备。</w:t>
            </w:r>
          </w:p>
        </w:tc>
        <w:tc>
          <w:tcPr>
            <w:tcW w:w="1162" w:type="pct"/>
            <w:vAlign w:val="center"/>
          </w:tcPr>
          <w:p w14:paraId="0C19BC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1.能通过监控软件界面，查看舍内实时温湿度、氨气浓度等环境数据。</w:t>
            </w:r>
          </w:p>
          <w:p w14:paraId="385619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调取指定区域和时间的监控录像，并进行备份。</w:t>
            </w:r>
          </w:p>
          <w:p w14:paraId="66033D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能使用生产管理软件或手持终端，完成动物存栏、免疫、转群等信息的录入与查询。 能定期对生产电子数据进行备份，确保数据安全。</w:t>
            </w:r>
          </w:p>
        </w:tc>
        <w:tc>
          <w:tcPr>
            <w:tcW w:w="694" w:type="pct"/>
            <w:vAlign w:val="center"/>
          </w:tcPr>
          <w:p w14:paraId="6D69FB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创新意识</w:t>
            </w:r>
          </w:p>
        </w:tc>
        <w:tc>
          <w:tcPr>
            <w:tcW w:w="592" w:type="pct"/>
            <w:vAlign w:val="center"/>
          </w:tcPr>
          <w:p w14:paraId="62909A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ascii="宋体" w:hAnsi="宋体" w:eastAsia="宋体" w:cs="宋体"/>
                <w:sz w:val="21"/>
                <w:szCs w:val="21"/>
              </w:rPr>
              <w:t>理论</w:t>
            </w:r>
            <w:r>
              <w:rPr>
                <w:rFonts w:hint="eastAsia" w:ascii="宋体" w:hAnsi="宋体" w:eastAsia="宋体" w:cs="宋体"/>
                <w:sz w:val="21"/>
                <w:szCs w:val="21"/>
                <w:lang w:val="en-US" w:eastAsia="zh-CN"/>
              </w:rPr>
              <w:t>2</w:t>
            </w:r>
          </w:p>
        </w:tc>
      </w:tr>
    </w:tbl>
    <w:p w14:paraId="7AE2F208">
      <w:pPr>
        <w:pStyle w:val="3"/>
        <w:bidi w:val="0"/>
        <w:rPr>
          <w:rFonts w:hint="eastAsia"/>
          <w:lang w:val="en-US" w:eastAsia="zh-CN"/>
        </w:rPr>
      </w:pPr>
      <w:r>
        <w:rPr>
          <w:rFonts w:hint="eastAsia"/>
          <w:lang w:val="en-US" w:eastAsia="zh-CN"/>
        </w:rPr>
        <w:t>六、课程考核与评价</w:t>
      </w:r>
    </w:p>
    <w:p w14:paraId="14E5B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7E7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CC96C9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3BCBDC4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24AB8E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60ED13A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9BC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10FF6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B8303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E54CC30">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出勤打卡、课堂互动、线上学习、作业完成情况</w:t>
            </w:r>
          </w:p>
        </w:tc>
        <w:tc>
          <w:tcPr>
            <w:tcW w:w="1311" w:type="dxa"/>
            <w:tcBorders>
              <w:left w:val="single" w:color="auto" w:sz="4" w:space="0"/>
              <w:right w:val="single" w:color="auto" w:sz="4" w:space="0"/>
            </w:tcBorders>
            <w:shd w:val="clear" w:color="auto" w:fill="auto"/>
            <w:vAlign w:val="center"/>
          </w:tcPr>
          <w:p w14:paraId="4070D2C2">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99E0D06">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出勤达标（4%），课堂积极参与研讨（4%），作业完成情况（3%）</w:t>
            </w:r>
          </w:p>
        </w:tc>
      </w:tr>
      <w:tr w14:paraId="7E1F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9EF620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FC89A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5AD4F4BC">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每章结束后通过线上测验、内容总结报告形式考核</w:t>
            </w:r>
          </w:p>
        </w:tc>
        <w:tc>
          <w:tcPr>
            <w:tcW w:w="1311" w:type="dxa"/>
            <w:tcBorders>
              <w:left w:val="single" w:color="auto" w:sz="4" w:space="0"/>
              <w:right w:val="single" w:color="auto" w:sz="4" w:space="0"/>
            </w:tcBorders>
            <w:vAlign w:val="center"/>
          </w:tcPr>
          <w:p w14:paraId="21233C4C">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A7A1964">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掌握各单元核心知识点（6%），能初步应用技能解决简单问题（4%）</w:t>
            </w:r>
          </w:p>
        </w:tc>
      </w:tr>
      <w:tr w14:paraId="0C1A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C27EF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789E8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4BB0D00F">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2CD7F4A8">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6E1A2FE3">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理论知识达标（20%），</w:t>
            </w:r>
          </w:p>
        </w:tc>
      </w:tr>
      <w:tr w14:paraId="1A81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32BFB6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65694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8B22B0A">
            <w:pPr>
              <w:rPr>
                <w:rFonts w:hint="default" w:ascii="宋体" w:hAnsi="宋体" w:eastAsia="宋体" w:cs="宋体"/>
                <w:color w:val="FF0000"/>
                <w:sz w:val="21"/>
                <w:szCs w:val="21"/>
                <w:lang w:val="en-US" w:eastAsia="zh-CN"/>
              </w:rPr>
            </w:pPr>
            <w:r>
              <w:rPr>
                <w:rFonts w:hint="eastAsia" w:ascii="Arial" w:hAnsi="Arial" w:eastAsia="宋体" w:cs="Arial"/>
                <w:color w:val="auto"/>
                <w:lang w:val="en-US" w:eastAsia="zh-CN"/>
              </w:rPr>
              <w:t>实训操作，设计场区规划图纸</w:t>
            </w:r>
          </w:p>
        </w:tc>
        <w:tc>
          <w:tcPr>
            <w:tcW w:w="1311" w:type="dxa"/>
            <w:tcBorders>
              <w:left w:val="single" w:color="auto" w:sz="4" w:space="0"/>
              <w:right w:val="single" w:color="auto" w:sz="4" w:space="0"/>
            </w:tcBorders>
            <w:vAlign w:val="center"/>
          </w:tcPr>
          <w:p w14:paraId="566A2CDB">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0C65413">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模拟场景熟练度（5%），场区规划方案合理（5%）</w:t>
            </w:r>
          </w:p>
        </w:tc>
      </w:tr>
      <w:tr w14:paraId="2F0A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FF6FA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5306213A">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1BE4A720">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6B93E87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F37E312">
      <w:pPr>
        <w:pStyle w:val="3"/>
        <w:bidi w:val="0"/>
        <w:rPr>
          <w:rFonts w:hint="eastAsia"/>
          <w:lang w:val="en-US" w:eastAsia="zh-CN"/>
        </w:rPr>
      </w:pPr>
      <w:r>
        <w:rPr>
          <w:rFonts w:hint="eastAsia"/>
          <w:lang w:val="en-US" w:eastAsia="zh-CN"/>
        </w:rPr>
        <w:t>七、课程实施与保障</w:t>
      </w:r>
    </w:p>
    <w:p w14:paraId="2F5F9E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(一)教学策略</w:t>
      </w:r>
    </w:p>
    <w:p w14:paraId="74D1C8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ascii="宋体" w:hAnsi="宋体" w:eastAsia="宋体" w:cs="宋体"/>
          <w:color w:val="auto"/>
          <w:sz w:val="24"/>
          <w:szCs w:val="24"/>
        </w:rPr>
        <w:t>采用“案例驱动+理实一体”的教学模式</w:t>
      </w:r>
      <w:r>
        <w:rPr>
          <w:rFonts w:hint="eastAsia" w:ascii="宋体" w:hAnsi="宋体" w:eastAsia="宋体" w:cs="宋体"/>
          <w:color w:val="auto"/>
          <w:sz w:val="24"/>
          <w:szCs w:val="24"/>
          <w:lang w:val="en-US" w:eastAsia="zh-CN"/>
        </w:rPr>
        <w:t>，选用线上线下混合式教学组织形式，建议采用信息化教学法、小组协作等教学方法，选用小组合作等学习方法,依托校内学习通等课程资源和教学平台实施教学。</w:t>
      </w:r>
    </w:p>
    <w:p w14:paraId="419E06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(二)课程思政融入</w:t>
      </w:r>
    </w:p>
    <w:p w14:paraId="025D76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EF949E" w:themeColor="accent6" w:themeTint="99"/>
          <w:sz w:val="24"/>
          <w:szCs w:val="24"/>
          <w:lang w:val="en-US" w:eastAsia="zh-CN"/>
          <w14:textFill>
            <w14:solidFill>
              <w14:schemeClr w14:val="accent6">
                <w14:lumMod w14:val="60000"/>
                <w14:lumOff w14:val="40000"/>
              </w14:schemeClr>
            </w14:solidFill>
          </w14:textFill>
        </w:rPr>
      </w:pPr>
      <w:r>
        <w:rPr>
          <w:rFonts w:hint="eastAsia" w:ascii="宋体" w:hAnsi="宋体" w:eastAsia="宋体" w:cs="宋体"/>
          <w:color w:val="auto"/>
          <w:sz w:val="24"/>
          <w:szCs w:val="24"/>
          <w:lang w:val="en-US" w:eastAsia="zh-CN"/>
        </w:rPr>
        <w:t xml:space="preserve">构建了“中国智造”“创新型国家”的课程思政价值链，结合中国科学家及行业工程师的经历，向学生传递科技创新精神与工匠精神，推动专业知识与思政教育深度融合。融入产业行业发展形势政策，增强学生的学习动力。当前，我国正加快转变畜牧业发展方式，本课程对于培养畜牧业人才具有深远的育人价值。推进畜禽标准化规模养殖并开展示范创建，体现了精益求精的工匠精神，激励我们追求卓越、勇于创新。打击违法犯罪行为以保障食品安全，彰显了以人民为中心的发展思想，培养我们的责任担当与法治意识。坚持“创新、协调、绿色、开放、共享”理念，展现了国家的战略眼光，引导我们树立大局意识和可持续发展观念。信息技术与畜牧业的融合，启示我们要紧跟时代发展步伐，将专业知识与现代科技相结合，运用智慧为传统产业赋能。作为新时代青年，应当牢记使命，将个人发展融入国家农业现代化建设，凭借过硬本领为畜牧业高质量发展贡献力量，在实践中践行社会主义核心价值观，实现人生价值与社会价值的统一。 </w:t>
      </w:r>
    </w:p>
    <w:p w14:paraId="65A9E9A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3621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1448C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专业教师在15人左右，专职教师10人，</w:t>
      </w:r>
      <w:r>
        <w:rPr>
          <w:rFonts w:ascii="宋体" w:hAnsi="宋体" w:eastAsia="宋体" w:cs="宋体"/>
          <w:sz w:val="24"/>
          <w:szCs w:val="24"/>
        </w:rPr>
        <w:t>其中双师型教师比例不低于70%</w:t>
      </w:r>
      <w:r>
        <w:rPr>
          <w:rFonts w:hint="eastAsia" w:ascii="宋体" w:hAnsi="宋体" w:eastAsia="宋体" w:cs="宋体"/>
          <w:sz w:val="24"/>
          <w:szCs w:val="24"/>
          <w:lang w:val="en-US" w:eastAsia="zh-CN"/>
        </w:rPr>
        <w:t>。</w:t>
      </w:r>
    </w:p>
    <w:p w14:paraId="1E383B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5C347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实施课程教学，校内应具备以下实训条件：多媒体专业教室、教学做一体化实训室和仿真模拟演练。</w:t>
      </w:r>
    </w:p>
    <w:p w14:paraId="3FC342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D27D7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73244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指定教材、教学大纲、课程</w:t>
      </w:r>
      <w:r>
        <w:rPr>
          <w:rFonts w:hint="eastAsia" w:ascii="宋体" w:hAnsi="宋体" w:eastAsia="宋体" w:cs="宋体"/>
          <w:sz w:val="24"/>
          <w:szCs w:val="24"/>
          <w:lang w:val="en-US" w:eastAsia="zh-CN"/>
        </w:rPr>
        <w:t>教案</w:t>
      </w:r>
      <w:r>
        <w:rPr>
          <w:rFonts w:ascii="宋体" w:hAnsi="宋体" w:eastAsia="宋体" w:cs="宋体"/>
          <w:sz w:val="24"/>
          <w:szCs w:val="24"/>
        </w:rPr>
        <w:t>、考核标准</w:t>
      </w:r>
      <w:r>
        <w:rPr>
          <w:rFonts w:hint="eastAsia" w:ascii="宋体" w:hAnsi="宋体" w:eastAsia="宋体" w:cs="宋体"/>
          <w:sz w:val="24"/>
          <w:szCs w:val="24"/>
          <w:lang w:eastAsia="zh-CN"/>
        </w:rPr>
        <w:t>。</w:t>
      </w:r>
    </w:p>
    <w:p w14:paraId="1698F7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3A959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线上课程视频、行业标准数据库、线上测验题库。</w:t>
      </w:r>
    </w:p>
    <w:p w14:paraId="05899B98">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43367C19">
      <w:pPr>
        <w:pStyle w:val="2"/>
        <w:bidi w:val="0"/>
        <w:rPr>
          <w:rFonts w:hint="eastAsia"/>
          <w:lang w:val="en-US" w:eastAsia="zh-CN"/>
        </w:rPr>
      </w:pPr>
      <w:bookmarkStart w:id="42" w:name="_Toc19690"/>
      <w:bookmarkStart w:id="43" w:name="_Toc7657"/>
      <w:r>
        <w:rPr>
          <w:rFonts w:hint="eastAsia"/>
          <w:lang w:val="en-US" w:eastAsia="zh-CN"/>
        </w:rPr>
        <w:t>《动物解剖与微生物综合实训》课程标准</w:t>
      </w:r>
      <w:bookmarkEnd w:id="42"/>
      <w:bookmarkEnd w:id="43"/>
    </w:p>
    <w:p w14:paraId="1BC01B5C">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4421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621374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46518C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动物临床诊疗实训</w:t>
            </w:r>
          </w:p>
        </w:tc>
        <w:tc>
          <w:tcPr>
            <w:tcW w:w="975" w:type="dxa"/>
            <w:tcBorders>
              <w:top w:val="single" w:color="auto" w:sz="4" w:space="0"/>
              <w:left w:val="single" w:color="auto" w:sz="4" w:space="0"/>
              <w:bottom w:val="single" w:color="auto" w:sz="4" w:space="0"/>
              <w:right w:val="single" w:color="auto" w:sz="4" w:space="0"/>
            </w:tcBorders>
            <w:vAlign w:val="center"/>
          </w:tcPr>
          <w:p w14:paraId="20B7CA6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C1BC60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xcxm24032</w:t>
            </w:r>
          </w:p>
        </w:tc>
      </w:tr>
      <w:tr w14:paraId="0B7C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2A23C7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91754B5">
            <w:pPr>
              <w:jc w:val="center"/>
              <w:rPr>
                <w:rFonts w:hint="default" w:eastAsiaTheme="minorEastAsia"/>
                <w:sz w:val="21"/>
                <w:szCs w:val="21"/>
                <w:lang w:val="en-US" w:eastAsia="zh-CN"/>
              </w:rPr>
            </w:pPr>
            <w:r>
              <w:rPr>
                <w:rFonts w:hint="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25B8D301">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514DA3F">
            <w:pPr>
              <w:jc w:val="center"/>
              <w:rPr>
                <w:rFonts w:hint="eastAsia"/>
                <w:sz w:val="21"/>
                <w:szCs w:val="21"/>
                <w:lang w:val="en-US" w:eastAsia="zh-CN"/>
              </w:rPr>
            </w:pPr>
            <w:r>
              <w:rPr>
                <w:rFonts w:hint="eastAsia"/>
                <w:sz w:val="21"/>
                <w:szCs w:val="21"/>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7B1594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306689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1学分</w:t>
            </w:r>
          </w:p>
        </w:tc>
      </w:tr>
      <w:tr w14:paraId="17BF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EBB031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CCF3159">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畜牧兽医专业</w:t>
            </w:r>
          </w:p>
        </w:tc>
      </w:tr>
      <w:tr w14:paraId="5961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B32BEE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0977DB2">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1C8CE4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CDEF9D7">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6E9D601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7CA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16E417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62AC5E0">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动物微生物、动物解剖生理、动物传染病等</w:t>
            </w:r>
          </w:p>
        </w:tc>
      </w:tr>
      <w:tr w14:paraId="318D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7DD8CF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01AE3EE">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动物</w:t>
            </w:r>
            <w:r>
              <w:rPr>
                <w:rFonts w:hint="eastAsia" w:ascii="Arial" w:hAnsi="Arial" w:eastAsia="宋体" w:cs="Arial"/>
                <w:color w:val="auto"/>
                <w:sz w:val="21"/>
                <w:szCs w:val="21"/>
                <w:lang w:val="en-US" w:eastAsia="zh-CN"/>
              </w:rPr>
              <w:t>外科、动物内科、动物产科</w:t>
            </w:r>
            <w:r>
              <w:rPr>
                <w:rFonts w:hint="default" w:ascii="Arial" w:hAnsi="Arial" w:eastAsia="宋体" w:cs="Arial"/>
                <w:color w:val="auto"/>
                <w:sz w:val="21"/>
                <w:szCs w:val="21"/>
                <w:lang w:val="en-US" w:eastAsia="zh-CN"/>
              </w:rPr>
              <w:t>等</w:t>
            </w:r>
          </w:p>
        </w:tc>
      </w:tr>
      <w:tr w14:paraId="342C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175D5C5">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8259231">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兽医临床诊疗技术</w:t>
            </w:r>
            <w:r>
              <w:rPr>
                <w:rFonts w:ascii="Arial" w:hAnsi="Arial" w:eastAsia="宋体" w:cs="Arial"/>
                <w:sz w:val="21"/>
                <w:szCs w:val="21"/>
              </w:rPr>
              <w:t>》（</w:t>
            </w:r>
            <w:r>
              <w:rPr>
                <w:rFonts w:hint="eastAsia" w:ascii="Arial" w:hAnsi="Arial" w:eastAsia="宋体" w:cs="Arial"/>
                <w:sz w:val="21"/>
                <w:szCs w:val="21"/>
                <w:lang w:val="en-US" w:eastAsia="zh-CN"/>
              </w:rPr>
              <w:t>作者吴敏秋</w:t>
            </w:r>
            <w:r>
              <w:rPr>
                <w:rFonts w:hint="eastAsia" w:ascii="Arial" w:hAnsi="Arial" w:eastAsia="宋体" w:cs="Arial"/>
                <w:sz w:val="21"/>
                <w:szCs w:val="21"/>
              </w:rPr>
              <w:t>，</w:t>
            </w:r>
            <w:r>
              <w:rPr>
                <w:rFonts w:hint="eastAsia" w:ascii="Arial" w:hAnsi="Arial" w:eastAsia="宋体" w:cs="Arial"/>
                <w:sz w:val="21"/>
                <w:szCs w:val="21"/>
                <w:lang w:val="en-US" w:eastAsia="zh-CN"/>
              </w:rPr>
              <w:t>出版社中国农业出版社，出版年份2021，ISBN978-7-5655-2476-9号</w:t>
            </w:r>
            <w:r>
              <w:rPr>
                <w:rFonts w:ascii="Arial" w:hAnsi="Arial" w:eastAsia="宋体" w:cs="Arial"/>
                <w:sz w:val="21"/>
                <w:szCs w:val="21"/>
              </w:rPr>
              <w:t>)</w:t>
            </w:r>
          </w:p>
        </w:tc>
      </w:tr>
      <w:tr w14:paraId="6BC6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40EEE1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75169C1">
            <w:pPr>
              <w:widowControl/>
              <w:jc w:val="left"/>
              <w:rPr>
                <w:rFonts w:hint="default" w:eastAsiaTheme="minorEastAsia"/>
                <w:sz w:val="21"/>
                <w:szCs w:val="21"/>
                <w:lang w:val="en-US" w:eastAsia="zh-CN"/>
              </w:rPr>
            </w:pPr>
            <w:r>
              <w:rPr>
                <w:rFonts w:hint="eastAsia"/>
                <w:sz w:val="21"/>
                <w:szCs w:val="21"/>
                <w:lang w:val="en-US" w:eastAsia="zh-CN"/>
              </w:rPr>
              <w:t>房新、谭聪</w:t>
            </w:r>
          </w:p>
        </w:tc>
        <w:tc>
          <w:tcPr>
            <w:tcW w:w="975" w:type="dxa"/>
            <w:tcBorders>
              <w:top w:val="single" w:color="auto" w:sz="4" w:space="0"/>
              <w:left w:val="single" w:color="auto" w:sz="4" w:space="0"/>
              <w:bottom w:val="single" w:color="auto" w:sz="4" w:space="0"/>
              <w:right w:val="single" w:color="auto" w:sz="4" w:space="0"/>
            </w:tcBorders>
            <w:vAlign w:val="center"/>
          </w:tcPr>
          <w:p w14:paraId="2D86C17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83C6D2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943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7BFD3F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075B860">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1531B5E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C0BA5AA">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4D9D1D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98696FD">
      <w:pPr>
        <w:pStyle w:val="3"/>
        <w:bidi w:val="0"/>
        <w:rPr>
          <w:rFonts w:hint="eastAsia"/>
          <w:lang w:val="en-US" w:eastAsia="zh-CN"/>
        </w:rPr>
      </w:pPr>
      <w:r>
        <w:rPr>
          <w:rFonts w:hint="eastAsia"/>
          <w:lang w:val="en-US" w:eastAsia="zh-CN"/>
        </w:rPr>
        <w:t>二、课程定位</w:t>
      </w:r>
    </w:p>
    <w:p w14:paraId="040F6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课程以动物临床诊疗岗位需求为导向，聚焦畜禽及伴侣动物常见病、多发病的临床诊断与基础治疗操作，培养学生具备独立开展临床检查、规范实施诊疗操作、妥善处理诊疗场景问题的核心职业能力，是连接理论知识与临床实践的关键纽带，对提升学生职业素养、增强岗位适配性具有重要意义。</w:t>
      </w:r>
    </w:p>
    <w:p w14:paraId="7C7E77C1">
      <w:pPr>
        <w:pStyle w:val="3"/>
        <w:bidi w:val="0"/>
        <w:rPr>
          <w:rFonts w:hint="eastAsia"/>
          <w:lang w:val="en-US" w:eastAsia="zh-CN"/>
        </w:rPr>
      </w:pPr>
      <w:r>
        <w:rPr>
          <w:rFonts w:hint="eastAsia"/>
          <w:lang w:val="en-US" w:eastAsia="zh-CN"/>
        </w:rPr>
        <w:t>三、课程设计思路</w:t>
      </w:r>
    </w:p>
    <w:p w14:paraId="78040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本课程遵循“以岗位需求为核心，以能力培养为主线，理论与实践深度融合”的设计理念，打破传统实训课程的学科化体系，构建“岗位任务驱动、场景化教学、过程性评价”的实训模式。</w:t>
      </w:r>
    </w:p>
    <w:p w14:paraId="739E3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形式上，基于畜牧兽医、宠物医疗等行业岗位职业能力要求，联合行业企业专家梳理临床诊疗岗位核心工作任务，将课程内容分解为临床检查、标本采集与处理、常用治疗技术、常见病诊疗案例分析等模块，确保实训内容与岗位实际工作高度契合。其次，采用“理论铺垫—示范操作—分组实操—纠错指导—案例复盘”的教学流程，依托实训中心模拟诊疗室、动物病房、实验室等场地，结合真实畜禽养殖场、宠物医院案例，营造沉浸式临床场景，让学生在实践中掌握操作技能。</w:t>
      </w:r>
    </w:p>
    <w:p w14:paraId="466979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职业院校技能大赛、大学生创新创业大赛等相关内容，推动“岗课赛证”融通培养。课程思政方面，挖掘</w:t>
      </w:r>
      <w:r>
        <w:rPr>
          <w:rFonts w:hint="eastAsia" w:asciiTheme="minorEastAsia" w:hAnsiTheme="minorEastAsia" w:cstheme="minorEastAsia"/>
          <w:sz w:val="24"/>
          <w:szCs w:val="24"/>
          <w:lang w:val="en-US" w:eastAsia="zh-CN"/>
        </w:rPr>
        <w:t>微生物学</w:t>
      </w:r>
      <w:r>
        <w:rPr>
          <w:rFonts w:hint="eastAsia" w:asciiTheme="minorEastAsia" w:hAnsiTheme="minorEastAsia" w:eastAsiaTheme="minorEastAsia" w:cstheme="minorEastAsia"/>
          <w:sz w:val="24"/>
          <w:szCs w:val="24"/>
          <w:lang w:val="en-US" w:eastAsia="zh-CN"/>
        </w:rPr>
        <w:t>领域的科学家精神、兽医职业道德、动物福利理念、生态文明意识等思政元素，通过讲述我国畜牧兽医事业发展成就、行业模范事迹等，培养学生“知农爱农、强牧兴牧”的家国情怀和“精益求精、尊重生命”的职业精神。</w:t>
      </w:r>
    </w:p>
    <w:p w14:paraId="3C0251F6">
      <w:pPr>
        <w:pStyle w:val="3"/>
        <w:bidi w:val="0"/>
        <w:rPr>
          <w:rFonts w:hint="eastAsia"/>
          <w:lang w:val="en-US" w:eastAsia="zh-CN"/>
        </w:rPr>
      </w:pPr>
      <w:r>
        <w:rPr>
          <w:rFonts w:hint="eastAsia"/>
          <w:lang w:val="en-US" w:eastAsia="zh-CN"/>
        </w:rPr>
        <w:t>四、课程目标</w:t>
      </w:r>
    </w:p>
    <w:p w14:paraId="726FFC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7A458E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掌握动物临床检查的基本方法（视诊、触诊、叩诊、听诊、嗅诊）及操作要领；熟记猪、牛、羊、犬、猫等常见动物的正常生理指标（体温、心率、呼吸频率、血压等）及判读标准。</w:t>
      </w:r>
    </w:p>
    <w:p w14:paraId="5B4D84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熟悉畜禽及伴侣动物常见生理指标（体温、脉搏、呼吸、精神状态等）的正常范围及异常变化的临床意义。</w:t>
      </w:r>
    </w:p>
    <w:p w14:paraId="6D5BCF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掌握血液、尿液、粪便等常用标本的采集方法、保存条件及初步处理流程。</w:t>
      </w:r>
    </w:p>
    <w:p w14:paraId="12EDB4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熟悉常用治疗技术（注射、输液、给药、消毒、止血、包扎等）的原理、适用场景及操作规范。</w:t>
      </w:r>
    </w:p>
    <w:p w14:paraId="69BC03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6BC1B9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1.能独立对牛、羊、猪、犬、猫等常见动物进行规范的临床基本检查，并准确记录检查结果，初步判断健康状况。</w:t>
      </w:r>
    </w:p>
    <w:p w14:paraId="63C51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2.能熟练完成血液（静脉采血、动脉采血）、尿液（导尿、集尿）、粪便等标本的采集与初步处理，配合实验室进行基础检测。</w:t>
      </w:r>
    </w:p>
    <w:p w14:paraId="5C7C8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3.能规范实施皮下注射、肌肉注射、静脉注射、腹腔注射、口服给药、外用消毒、止血包扎等常用治疗操作，规避操作风险。</w:t>
      </w:r>
    </w:p>
    <w:p w14:paraId="0FF29D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能</w:t>
      </w:r>
      <w:r>
        <w:rPr>
          <w:rFonts w:ascii="宋体" w:hAnsi="宋体" w:eastAsia="宋体" w:cs="宋体"/>
          <w:kern w:val="0"/>
          <w:sz w:val="24"/>
          <w:szCs w:val="24"/>
          <w:lang w:val="en-US" w:eastAsia="zh-CN" w:bidi="ar"/>
        </w:rPr>
        <w:t>完成</w:t>
      </w:r>
      <w:r>
        <w:rPr>
          <w:rFonts w:hint="eastAsia" w:ascii="宋体" w:hAnsi="宋体" w:eastAsia="宋体" w:cs="宋体"/>
          <w:kern w:val="0"/>
          <w:sz w:val="24"/>
          <w:szCs w:val="24"/>
          <w:lang w:val="en-US" w:eastAsia="zh-CN" w:bidi="ar"/>
        </w:rPr>
        <w:t>外科手术操作</w:t>
      </w:r>
      <w:r>
        <w:rPr>
          <w:rFonts w:ascii="宋体" w:hAnsi="宋体" w:eastAsia="宋体" w:cs="宋体"/>
          <w:kern w:val="0"/>
          <w:sz w:val="24"/>
          <w:szCs w:val="24"/>
          <w:lang w:val="en-US" w:eastAsia="zh-CN" w:bidi="ar"/>
        </w:rPr>
        <w:t>操作，包括</w:t>
      </w:r>
      <w:r>
        <w:rPr>
          <w:rFonts w:hint="eastAsia" w:ascii="宋体" w:hAnsi="宋体" w:eastAsia="宋体" w:cs="宋体"/>
          <w:kern w:val="0"/>
          <w:sz w:val="24"/>
          <w:szCs w:val="24"/>
          <w:lang w:val="en-US" w:eastAsia="zh-CN" w:bidi="ar"/>
        </w:rPr>
        <w:t>缝合、打结、</w:t>
      </w:r>
      <w:r>
        <w:rPr>
          <w:rFonts w:ascii="宋体" w:hAnsi="宋体" w:eastAsia="宋体" w:cs="宋体"/>
          <w:kern w:val="0"/>
          <w:sz w:val="24"/>
          <w:szCs w:val="24"/>
          <w:lang w:val="en-US" w:eastAsia="zh-CN" w:bidi="ar"/>
        </w:rPr>
        <w:t>皮下注射、肌肉注射、静脉注射、口服给药、外用给药等，准确控制给药剂量，掌握不同给药方式的操作要点及适用场景。</w:t>
      </w:r>
      <w:r>
        <w:rPr>
          <w:rFonts w:hint="eastAsia" w:asciiTheme="minorEastAsia" w:hAnsiTheme="minorEastAsia" w:eastAsiaTheme="minorEastAsia" w:cstheme="minorEastAsia"/>
          <w:sz w:val="24"/>
          <w:szCs w:val="24"/>
          <w:lang w:val="en-US" w:eastAsia="zh-CN"/>
        </w:rPr>
        <w:t>。</w:t>
      </w:r>
    </w:p>
    <w:p w14:paraId="448F6C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5.能规范填写诊疗记录、病历档案，具备良好的职业文书撰写能力。</w:t>
      </w:r>
    </w:p>
    <w:p w14:paraId="20CA43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E70EC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1.树立“以人为本、以动物为中心”的职业理念，具备尊重生命、关爱动物的人文关怀素养。</w:t>
      </w:r>
    </w:p>
    <w:p w14:paraId="31BB7F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2.养成严谨细致、规范操作的职业习惯，具备高度的责任心和敬业精神。</w:t>
      </w:r>
    </w:p>
    <w:p w14:paraId="75D162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3.具备良好的团队协作能力，能与同学、同事分工配合完成诊疗工作，有效沟通诊疗信息。</w:t>
      </w:r>
    </w:p>
    <w:p w14:paraId="30949D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99C75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生命教育：引导学生理解生命的神圣与可贵，树立尊重生命、关爱</w:t>
      </w:r>
      <w:r>
        <w:rPr>
          <w:rFonts w:hint="eastAsia" w:asciiTheme="minorEastAsia" w:hAnsiTheme="minorEastAsia" w:cstheme="minorEastAsia"/>
          <w:sz w:val="24"/>
          <w:szCs w:val="24"/>
          <w:lang w:val="en-US" w:eastAsia="zh-CN"/>
        </w:rPr>
        <w:t>生</w:t>
      </w:r>
      <w:r>
        <w:rPr>
          <w:rFonts w:hint="eastAsia" w:asciiTheme="minorEastAsia" w:hAnsiTheme="minorEastAsia" w:eastAsiaTheme="minorEastAsia" w:cstheme="minorEastAsia"/>
          <w:sz w:val="24"/>
          <w:szCs w:val="24"/>
          <w:lang w:val="en-US" w:eastAsia="zh-CN"/>
        </w:rPr>
        <w:t>物的职业理念，培养仁爱之心。</w:t>
      </w:r>
    </w:p>
    <w:p w14:paraId="570908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 工匠精神：在</w:t>
      </w:r>
      <w:r>
        <w:rPr>
          <w:rFonts w:hint="eastAsia" w:asciiTheme="minorEastAsia" w:hAnsiTheme="minorEastAsia" w:cstheme="minorEastAsia"/>
          <w:sz w:val="24"/>
          <w:szCs w:val="24"/>
          <w:lang w:val="en-US" w:eastAsia="zh-CN"/>
        </w:rPr>
        <w:t>临床诊疗实训</w:t>
      </w:r>
      <w:r>
        <w:rPr>
          <w:rFonts w:hint="eastAsia" w:asciiTheme="minorEastAsia" w:hAnsiTheme="minorEastAsia" w:eastAsiaTheme="minorEastAsia" w:cstheme="minorEastAsia"/>
          <w:sz w:val="24"/>
          <w:szCs w:val="24"/>
          <w:lang w:val="en-US" w:eastAsia="zh-CN"/>
        </w:rPr>
        <w:t>实验中，追求精准、规范、精益求精，培育一丝不苟的工匠品质。</w:t>
      </w:r>
    </w:p>
    <w:p w14:paraId="77CCCE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 职业道德：树立“爱岗敬业、诚实守信、遵纪守法”的兽医职业道德观，明确行业行为规范和社会责任。</w:t>
      </w:r>
    </w:p>
    <w:p w14:paraId="4D148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 家国情怀：结合我国现代畜牧业发展成就、动物疫病防控重大贡献案例，增强学生的民族自豪感和“学农报国”的使命感。</w:t>
      </w:r>
    </w:p>
    <w:p w14:paraId="3EA2D3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 生态文明：理解健康养殖、动物福利与生态环境保护的关系，树立绿色、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p w14:paraId="1752561F">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81"/>
        <w:gridCol w:w="1715"/>
        <w:gridCol w:w="1617"/>
        <w:gridCol w:w="2058"/>
        <w:gridCol w:w="1178"/>
      </w:tblGrid>
      <w:tr w14:paraId="5F5E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pct"/>
            <w:vAlign w:val="center"/>
          </w:tcPr>
          <w:p w14:paraId="3EFF55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5" w:type="pct"/>
            <w:vAlign w:val="center"/>
          </w:tcPr>
          <w:p w14:paraId="71BCA1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70" w:type="pct"/>
            <w:vAlign w:val="center"/>
          </w:tcPr>
          <w:p w14:paraId="22F397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20" w:type="pct"/>
            <w:vAlign w:val="center"/>
          </w:tcPr>
          <w:p w14:paraId="383478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4" w:type="pct"/>
            <w:vAlign w:val="center"/>
          </w:tcPr>
          <w:p w14:paraId="525A20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7" w:type="pct"/>
            <w:vAlign w:val="center"/>
          </w:tcPr>
          <w:p w14:paraId="21860D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7747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660" w:type="pct"/>
            <w:vAlign w:val="center"/>
          </w:tcPr>
          <w:p w14:paraId="1F4B6F6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项目一</w:t>
            </w:r>
          </w:p>
        </w:tc>
        <w:tc>
          <w:tcPr>
            <w:tcW w:w="1005" w:type="pct"/>
            <w:vAlign w:val="center"/>
          </w:tcPr>
          <w:p w14:paraId="6EEE9AAB">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各种保定方法和打结方法练习</w:t>
            </w:r>
          </w:p>
        </w:tc>
        <w:tc>
          <w:tcPr>
            <w:tcW w:w="870" w:type="pct"/>
            <w:vAlign w:val="center"/>
          </w:tcPr>
          <w:p w14:paraId="09F3E4D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动物接近与保定。</w:t>
            </w:r>
          </w:p>
        </w:tc>
        <w:tc>
          <w:tcPr>
            <w:tcW w:w="820" w:type="pct"/>
            <w:vAlign w:val="center"/>
          </w:tcPr>
          <w:p w14:paraId="6C654E13">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各种打结方法</w:t>
            </w:r>
          </w:p>
        </w:tc>
        <w:tc>
          <w:tcPr>
            <w:tcW w:w="1044" w:type="pct"/>
            <w:vAlign w:val="center"/>
          </w:tcPr>
          <w:p w14:paraId="14716E67">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lang w:val="en-US" w:eastAsia="zh-CN"/>
              </w:rPr>
              <w:t>严谨认真、</w:t>
            </w: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7EE9B2B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7598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7E555996">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项目二</w:t>
            </w:r>
          </w:p>
        </w:tc>
        <w:tc>
          <w:tcPr>
            <w:tcW w:w="1005" w:type="pct"/>
            <w:vAlign w:val="center"/>
          </w:tcPr>
          <w:p w14:paraId="77BBFD89">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犬声带切除术和动物彩超学习、血液采集</w:t>
            </w:r>
          </w:p>
        </w:tc>
        <w:tc>
          <w:tcPr>
            <w:tcW w:w="870" w:type="pct"/>
            <w:vAlign w:val="center"/>
          </w:tcPr>
          <w:p w14:paraId="64335C46">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血液常规检验，血液化学检验</w:t>
            </w:r>
          </w:p>
        </w:tc>
        <w:tc>
          <w:tcPr>
            <w:tcW w:w="820" w:type="pct"/>
            <w:vAlign w:val="center"/>
          </w:tcPr>
          <w:p w14:paraId="61B940B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完成血液标本采集、红细胞白细胞计数以及血糖、血清脂质、肝功、肾功检查，熟练应用各种特殊检查技术</w:t>
            </w:r>
          </w:p>
        </w:tc>
        <w:tc>
          <w:tcPr>
            <w:tcW w:w="1044" w:type="pct"/>
            <w:vAlign w:val="center"/>
          </w:tcPr>
          <w:p w14:paraId="522BFA1C">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2D97796A">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68D4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7C6CE4ED">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项目三</w:t>
            </w:r>
          </w:p>
        </w:tc>
        <w:tc>
          <w:tcPr>
            <w:tcW w:w="1005" w:type="pct"/>
            <w:vAlign w:val="center"/>
          </w:tcPr>
          <w:p w14:paraId="046382C4">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临床基本检查方法的应用</w:t>
            </w:r>
          </w:p>
        </w:tc>
        <w:tc>
          <w:tcPr>
            <w:tcW w:w="870" w:type="pct"/>
            <w:vAlign w:val="center"/>
          </w:tcPr>
          <w:p w14:paraId="357360D2">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临床检查基本方法与程序，一般临床检查，各系统临床检查</w:t>
            </w:r>
          </w:p>
        </w:tc>
        <w:tc>
          <w:tcPr>
            <w:tcW w:w="820" w:type="pct"/>
            <w:vAlign w:val="center"/>
          </w:tcPr>
          <w:p w14:paraId="6B54D25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完成动物常规临床检查，包括体温、脉搏、呼吸、被毛、精神状态眼结膜、淋巴结等。</w:t>
            </w:r>
          </w:p>
        </w:tc>
        <w:tc>
          <w:tcPr>
            <w:tcW w:w="1044" w:type="pct"/>
            <w:vAlign w:val="center"/>
          </w:tcPr>
          <w:p w14:paraId="1562A80E">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求真务实、严谨细致、勇于探索的科学精神</w:t>
            </w:r>
          </w:p>
        </w:tc>
        <w:tc>
          <w:tcPr>
            <w:tcW w:w="597" w:type="pct"/>
            <w:vAlign w:val="center"/>
          </w:tcPr>
          <w:p w14:paraId="33989213">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r w14:paraId="1563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4768FE10">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项目四</w:t>
            </w:r>
          </w:p>
        </w:tc>
        <w:tc>
          <w:tcPr>
            <w:tcW w:w="1005" w:type="pct"/>
            <w:vAlign w:val="center"/>
          </w:tcPr>
          <w:p w14:paraId="0A74E21B">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外科手术基本操作技术实训</w:t>
            </w:r>
          </w:p>
        </w:tc>
        <w:tc>
          <w:tcPr>
            <w:tcW w:w="870" w:type="pct"/>
            <w:vAlign w:val="center"/>
          </w:tcPr>
          <w:p w14:paraId="5B5917A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对不同外伤进行正确处理</w:t>
            </w:r>
          </w:p>
        </w:tc>
        <w:tc>
          <w:tcPr>
            <w:tcW w:w="820" w:type="pct"/>
            <w:vAlign w:val="center"/>
          </w:tcPr>
          <w:p w14:paraId="68B01E4E">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能完成外科手术的各项操作：缝合、止血、包扎等</w:t>
            </w:r>
          </w:p>
        </w:tc>
        <w:tc>
          <w:tcPr>
            <w:tcW w:w="1044" w:type="pct"/>
            <w:vAlign w:val="center"/>
          </w:tcPr>
          <w:p w14:paraId="2A1394F2">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求真务实、严谨细致</w:t>
            </w:r>
            <w:r>
              <w:rPr>
                <w:rFonts w:hint="eastAsia" w:asciiTheme="minorEastAsia" w:hAnsiTheme="minorEastAsia" w:cstheme="minorEastAsia"/>
                <w:sz w:val="21"/>
                <w:szCs w:val="21"/>
                <w:lang w:val="en-US" w:eastAsia="zh-CN"/>
              </w:rPr>
              <w:t>的工作精神</w:t>
            </w:r>
          </w:p>
        </w:tc>
        <w:tc>
          <w:tcPr>
            <w:tcW w:w="597" w:type="pct"/>
            <w:vAlign w:val="center"/>
          </w:tcPr>
          <w:p w14:paraId="649608B4">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551B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7F43210D">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项目五</w:t>
            </w:r>
          </w:p>
        </w:tc>
        <w:tc>
          <w:tcPr>
            <w:tcW w:w="1005" w:type="pct"/>
            <w:vAlign w:val="center"/>
          </w:tcPr>
          <w:p w14:paraId="2BCC4663">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撰写实训报告，小组评价</w:t>
            </w:r>
          </w:p>
        </w:tc>
        <w:tc>
          <w:tcPr>
            <w:tcW w:w="870" w:type="pct"/>
            <w:vAlign w:val="center"/>
          </w:tcPr>
          <w:p w14:paraId="14E785F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撰写病历记录，形成病历档案，形成报告</w:t>
            </w:r>
          </w:p>
        </w:tc>
        <w:tc>
          <w:tcPr>
            <w:tcW w:w="820" w:type="pct"/>
            <w:vAlign w:val="center"/>
          </w:tcPr>
          <w:p w14:paraId="6787997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能对操作进行完整、细致、重点总结</w:t>
            </w:r>
          </w:p>
        </w:tc>
        <w:tc>
          <w:tcPr>
            <w:tcW w:w="1044" w:type="pct"/>
            <w:vAlign w:val="center"/>
          </w:tcPr>
          <w:p w14:paraId="7A572924">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26096EE4">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bl>
    <w:p w14:paraId="693C7E84">
      <w:pPr>
        <w:numPr>
          <w:ilvl w:val="0"/>
          <w:numId w:val="2"/>
        </w:num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课程考核与评价</w:t>
      </w:r>
    </w:p>
    <w:p w14:paraId="3DF44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B383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1000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7B72B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E26460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2458A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62F0129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FEC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48E8C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5A2683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5245ECC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07C8B0FA">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499BD331">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6240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354896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8E753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6A74417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1EB345C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6AF8A777">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6372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E9E11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54E44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457691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4B02BF5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7AFB352">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281E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263F4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37DD049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69F991C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B506E2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E9616F0">
      <w:pPr>
        <w:pStyle w:val="3"/>
        <w:bidi w:val="0"/>
        <w:rPr>
          <w:rFonts w:hint="eastAsia"/>
          <w:lang w:val="en-US" w:eastAsia="zh-CN"/>
        </w:rPr>
      </w:pPr>
      <w:r>
        <w:rPr>
          <w:rFonts w:hint="eastAsia"/>
          <w:lang w:val="en-US" w:eastAsia="zh-CN"/>
        </w:rPr>
        <w:t>七、课程实施与保障</w:t>
      </w:r>
    </w:p>
    <w:p w14:paraId="590A99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E904C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虚拟仿真实训等形式，提高学生学习主动性和实践能力。</w:t>
      </w:r>
    </w:p>
    <w:p w14:paraId="7DAB4A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940A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热爱生命、强农兴牧、科学报国”的课程思政主线。通过临床诊疗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2673B5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D444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E858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临床诊疗相关教学经验与实践经历。鼓励聘请行业企业资深兽医、技术专家担任兼职教师，承担部分实践教学或讲座。团队结构（职称、年龄、专兼职）合理。</w:t>
      </w:r>
    </w:p>
    <w:p w14:paraId="5C7A2D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5A9A63F">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38D22296">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099C8D06">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动物解剖实验室：操作台，临床检查相关器械。符合生物安全与废弃物处理要求。</w:t>
      </w:r>
    </w:p>
    <w:p w14:paraId="5CEACA5D">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显微互动实验室：配备显微镜、显微成像系统、病理切片等。</w:t>
      </w:r>
    </w:p>
    <w:p w14:paraId="0B24AA18">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虚拟仿真实训室：安装临床手术虚拟仿真软件。</w:t>
      </w:r>
    </w:p>
    <w:p w14:paraId="6E5C07B4">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6BD33E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DBCC0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5B0F965A">
      <w:pPr>
        <w:keepNext w:val="0"/>
        <w:keepLines w:val="0"/>
        <w:pageBreakBefore w:val="0"/>
        <w:widowControl w:val="0"/>
        <w:numPr>
          <w:ilvl w:val="0"/>
          <w:numId w:val="3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数字教学资源：建设或选用精品在线开放课程资源库；开发或收集高质量微课视频、三维动画、虚拟仿真实验项目；建立标本、切片数字图像库；利用专业数据库、学术网站链接拓展学习资源。</w:t>
      </w:r>
    </w:p>
    <w:p w14:paraId="395F80B6">
      <w:pPr>
        <w:rPr>
          <w:rFonts w:hint="eastAsia" w:ascii="宋体" w:hAnsi="宋体" w:eastAsia="宋体" w:cs="宋体"/>
          <w:sz w:val="24"/>
          <w:szCs w:val="24"/>
          <w:lang w:val="en-US" w:eastAsia="zh-CN"/>
        </w:rPr>
      </w:pPr>
    </w:p>
    <w:p w14:paraId="5F11B710">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27A413FA">
      <w:pPr>
        <w:pStyle w:val="2"/>
        <w:bidi w:val="0"/>
        <w:jc w:val="center"/>
        <w:rPr>
          <w:rFonts w:hint="eastAsia"/>
          <w:lang w:val="en-US" w:eastAsia="zh-CN"/>
        </w:rPr>
      </w:pPr>
      <w:bookmarkStart w:id="44" w:name="_Toc9661"/>
      <w:bookmarkStart w:id="45" w:name="_Toc8267"/>
      <w:r>
        <w:rPr>
          <w:rFonts w:hint="eastAsia"/>
          <w:lang w:val="en-US" w:eastAsia="zh-CN"/>
        </w:rPr>
        <w:t>《畜牧兽医法律法规》课程标准</w:t>
      </w:r>
      <w:bookmarkEnd w:id="44"/>
      <w:bookmarkEnd w:id="45"/>
    </w:p>
    <w:p w14:paraId="4811709E">
      <w:pPr>
        <w:pStyle w:val="3"/>
        <w:bidi w:val="0"/>
        <w:rPr>
          <w:rFonts w:hint="eastAsia"/>
        </w:rPr>
      </w:pPr>
      <w:r>
        <w:rPr>
          <w:rFonts w:hint="eastAsia"/>
        </w:rPr>
        <w:t>一、课程基本信息</w:t>
      </w:r>
    </w:p>
    <w:tbl>
      <w:tblPr>
        <w:tblStyle w:val="27"/>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587"/>
        <w:gridCol w:w="1733"/>
        <w:gridCol w:w="995"/>
        <w:gridCol w:w="1059"/>
        <w:gridCol w:w="3314"/>
      </w:tblGrid>
      <w:tr w14:paraId="5FC1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A005A7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315" w:type="dxa"/>
            <w:gridSpan w:val="3"/>
            <w:tcBorders>
              <w:top w:val="single" w:color="auto" w:sz="4" w:space="0"/>
              <w:left w:val="single" w:color="auto" w:sz="4" w:space="0"/>
              <w:bottom w:val="single" w:color="auto" w:sz="4" w:space="0"/>
              <w:right w:val="single" w:color="auto" w:sz="4" w:space="0"/>
            </w:tcBorders>
            <w:vAlign w:val="center"/>
          </w:tcPr>
          <w:p w14:paraId="79134D9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畜牧兽医法律法规</w:t>
            </w:r>
          </w:p>
        </w:tc>
        <w:tc>
          <w:tcPr>
            <w:tcW w:w="1059" w:type="dxa"/>
            <w:tcBorders>
              <w:top w:val="single" w:color="auto" w:sz="4" w:space="0"/>
              <w:left w:val="single" w:color="auto" w:sz="4" w:space="0"/>
              <w:bottom w:val="single" w:color="auto" w:sz="4" w:space="0"/>
              <w:right w:val="single" w:color="auto" w:sz="4" w:space="0"/>
            </w:tcBorders>
            <w:vAlign w:val="center"/>
          </w:tcPr>
          <w:p w14:paraId="4C3DD5B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314" w:type="dxa"/>
            <w:tcBorders>
              <w:top w:val="single" w:color="auto" w:sz="4" w:space="0"/>
              <w:left w:val="single" w:color="auto" w:sz="4" w:space="0"/>
              <w:bottom w:val="single" w:color="auto" w:sz="4" w:space="0"/>
              <w:right w:val="single" w:color="auto" w:sz="4" w:space="0"/>
            </w:tcBorders>
            <w:vAlign w:val="center"/>
          </w:tcPr>
          <w:p w14:paraId="4A17219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xcxm24019</w:t>
            </w:r>
          </w:p>
        </w:tc>
      </w:tr>
      <w:tr w14:paraId="093C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bottom w:val="single" w:color="auto" w:sz="4" w:space="0"/>
              <w:right w:val="single" w:color="auto" w:sz="4" w:space="0"/>
            </w:tcBorders>
          </w:tcPr>
          <w:p w14:paraId="72B5B2E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87" w:type="dxa"/>
            <w:tcBorders>
              <w:top w:val="single" w:color="auto" w:sz="4" w:space="0"/>
              <w:left w:val="single" w:color="auto" w:sz="4" w:space="0"/>
              <w:bottom w:val="single" w:color="auto" w:sz="4" w:space="0"/>
              <w:right w:val="single" w:color="auto" w:sz="4" w:space="0"/>
            </w:tcBorders>
          </w:tcPr>
          <w:p w14:paraId="54B3F59D">
            <w:pPr>
              <w:jc w:val="center"/>
              <w:rPr>
                <w:rFonts w:hint="default" w:eastAsiaTheme="minorEastAsia"/>
                <w:sz w:val="21"/>
                <w:szCs w:val="21"/>
                <w:lang w:val="en-US" w:eastAsia="zh-CN"/>
              </w:rPr>
            </w:pPr>
            <w:r>
              <w:rPr>
                <w:rFonts w:hint="eastAsia"/>
                <w:sz w:val="21"/>
                <w:szCs w:val="21"/>
                <w:lang w:val="en-US" w:eastAsia="zh-CN"/>
              </w:rPr>
              <w:t>42学时</w:t>
            </w:r>
          </w:p>
        </w:tc>
        <w:tc>
          <w:tcPr>
            <w:tcW w:w="1733" w:type="dxa"/>
            <w:tcBorders>
              <w:top w:val="single" w:color="auto" w:sz="4" w:space="0"/>
              <w:left w:val="single" w:color="auto" w:sz="4" w:space="0"/>
              <w:bottom w:val="single" w:color="auto" w:sz="4" w:space="0"/>
              <w:right w:val="single" w:color="auto" w:sz="4" w:space="0"/>
            </w:tcBorders>
          </w:tcPr>
          <w:p w14:paraId="4BD5710C">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95" w:type="dxa"/>
            <w:tcBorders>
              <w:top w:val="single" w:color="auto" w:sz="4" w:space="0"/>
              <w:left w:val="single" w:color="auto" w:sz="4" w:space="0"/>
              <w:bottom w:val="single" w:color="auto" w:sz="4" w:space="0"/>
              <w:right w:val="single" w:color="auto" w:sz="4" w:space="0"/>
            </w:tcBorders>
          </w:tcPr>
          <w:p w14:paraId="1F184B2C">
            <w:pPr>
              <w:jc w:val="center"/>
              <w:rPr>
                <w:rFonts w:hint="eastAsia"/>
                <w:sz w:val="21"/>
                <w:szCs w:val="21"/>
                <w:lang w:val="en-US" w:eastAsia="zh-CN"/>
              </w:rPr>
            </w:pPr>
            <w:r>
              <w:rPr>
                <w:rFonts w:hint="eastAsia"/>
                <w:sz w:val="21"/>
                <w:szCs w:val="21"/>
                <w:lang w:val="en-US" w:eastAsia="zh-CN"/>
              </w:rPr>
              <w:t>12学时</w:t>
            </w:r>
          </w:p>
        </w:tc>
        <w:tc>
          <w:tcPr>
            <w:tcW w:w="1059" w:type="dxa"/>
            <w:tcBorders>
              <w:top w:val="single" w:color="auto" w:sz="4" w:space="0"/>
              <w:left w:val="single" w:color="auto" w:sz="4" w:space="0"/>
              <w:bottom w:val="single" w:color="auto" w:sz="4" w:space="0"/>
              <w:right w:val="single" w:color="auto" w:sz="4" w:space="0"/>
            </w:tcBorders>
            <w:vAlign w:val="center"/>
          </w:tcPr>
          <w:p w14:paraId="04AF093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314" w:type="dxa"/>
            <w:tcBorders>
              <w:top w:val="single" w:color="auto" w:sz="4" w:space="0"/>
              <w:left w:val="single" w:color="auto" w:sz="4" w:space="0"/>
              <w:bottom w:val="single" w:color="auto" w:sz="4" w:space="0"/>
              <w:right w:val="single" w:color="auto" w:sz="4" w:space="0"/>
            </w:tcBorders>
            <w:vAlign w:val="center"/>
          </w:tcPr>
          <w:p w14:paraId="4E927B4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0960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bottom w:val="single" w:color="auto" w:sz="4" w:space="0"/>
              <w:right w:val="single" w:color="auto" w:sz="4" w:space="0"/>
            </w:tcBorders>
          </w:tcPr>
          <w:p w14:paraId="75ED6F7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88" w:type="dxa"/>
            <w:gridSpan w:val="5"/>
            <w:tcBorders>
              <w:top w:val="single" w:color="auto" w:sz="4" w:space="0"/>
              <w:left w:val="single" w:color="auto" w:sz="4" w:space="0"/>
              <w:bottom w:val="single" w:color="auto" w:sz="4" w:space="0"/>
              <w:right w:val="single" w:color="auto" w:sz="4" w:space="0"/>
            </w:tcBorders>
          </w:tcPr>
          <w:p w14:paraId="1BFC8EE6">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371A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vAlign w:val="center"/>
          </w:tcPr>
          <w:p w14:paraId="2088713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315" w:type="dxa"/>
            <w:gridSpan w:val="3"/>
            <w:tcBorders>
              <w:top w:val="single" w:color="auto" w:sz="4" w:space="0"/>
              <w:left w:val="single" w:color="auto" w:sz="4" w:space="0"/>
              <w:right w:val="single" w:color="auto" w:sz="4" w:space="0"/>
            </w:tcBorders>
            <w:vAlign w:val="top"/>
          </w:tcPr>
          <w:p w14:paraId="7368D5A1">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1059" w:type="dxa"/>
            <w:tcBorders>
              <w:top w:val="single" w:color="auto" w:sz="4" w:space="0"/>
              <w:left w:val="single" w:color="auto" w:sz="4" w:space="0"/>
              <w:bottom w:val="single" w:color="auto" w:sz="4" w:space="0"/>
              <w:right w:val="single" w:color="auto" w:sz="4" w:space="0"/>
            </w:tcBorders>
            <w:vAlign w:val="center"/>
          </w:tcPr>
          <w:p w14:paraId="70BAE36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314" w:type="dxa"/>
            <w:tcBorders>
              <w:top w:val="single" w:color="auto" w:sz="4" w:space="0"/>
              <w:left w:val="single" w:color="auto" w:sz="4" w:space="0"/>
              <w:bottom w:val="single" w:color="auto" w:sz="4" w:space="0"/>
              <w:right w:val="single" w:color="auto" w:sz="4" w:space="0"/>
            </w:tcBorders>
            <w:vAlign w:val="center"/>
          </w:tcPr>
          <w:p w14:paraId="16593C9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7DE7163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419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shd w:val="clear" w:color="auto" w:fill="auto"/>
            <w:vAlign w:val="center"/>
          </w:tcPr>
          <w:p w14:paraId="5C94A9A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88" w:type="dxa"/>
            <w:gridSpan w:val="5"/>
            <w:tcBorders>
              <w:top w:val="single" w:color="auto" w:sz="4" w:space="0"/>
              <w:left w:val="single" w:color="auto" w:sz="4" w:space="0"/>
              <w:right w:val="single" w:color="auto" w:sz="4" w:space="0"/>
            </w:tcBorders>
            <w:vAlign w:val="top"/>
          </w:tcPr>
          <w:p w14:paraId="5D0170D1">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宋体" w:hAnsi="宋体" w:eastAsia="宋体" w:cs="宋体"/>
                <w:sz w:val="21"/>
                <w:szCs w:val="21"/>
              </w:rPr>
              <w:t>动物解剖生理、动物病理学、动物传染病学</w:t>
            </w:r>
          </w:p>
        </w:tc>
      </w:tr>
      <w:tr w14:paraId="6017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shd w:val="clear" w:color="auto" w:fill="auto"/>
            <w:vAlign w:val="center"/>
          </w:tcPr>
          <w:p w14:paraId="79C547C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88" w:type="dxa"/>
            <w:gridSpan w:val="5"/>
            <w:tcBorders>
              <w:top w:val="single" w:color="auto" w:sz="4" w:space="0"/>
              <w:left w:val="single" w:color="auto" w:sz="4" w:space="0"/>
              <w:right w:val="single" w:color="auto" w:sz="4" w:space="0"/>
            </w:tcBorders>
            <w:vAlign w:val="top"/>
          </w:tcPr>
          <w:p w14:paraId="23F89A1D">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动物防疫与检疫 岗位实习</w:t>
            </w:r>
          </w:p>
        </w:tc>
      </w:tr>
      <w:tr w14:paraId="5FE4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shd w:val="clear" w:color="auto" w:fill="auto"/>
            <w:vAlign w:val="center"/>
          </w:tcPr>
          <w:p w14:paraId="752BFDB6">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88" w:type="dxa"/>
            <w:gridSpan w:val="5"/>
            <w:tcBorders>
              <w:top w:val="single" w:color="auto" w:sz="4" w:space="0"/>
              <w:left w:val="single" w:color="auto" w:sz="4" w:space="0"/>
              <w:right w:val="single" w:color="auto" w:sz="4" w:space="0"/>
            </w:tcBorders>
            <w:shd w:val="clear" w:color="auto" w:fill="auto"/>
            <w:vAlign w:val="top"/>
          </w:tcPr>
          <w:p w14:paraId="7D840D26">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畜牧兽医法规与行政执法</w:t>
            </w:r>
            <w:r>
              <w:rPr>
                <w:rFonts w:ascii="Arial" w:hAnsi="Arial" w:eastAsia="宋体" w:cs="Arial"/>
                <w:sz w:val="21"/>
                <w:szCs w:val="21"/>
              </w:rPr>
              <w:t>》（</w:t>
            </w:r>
            <w:r>
              <w:rPr>
                <w:rFonts w:hint="eastAsia" w:ascii="Arial" w:hAnsi="Arial" w:eastAsia="宋体" w:cs="Arial"/>
                <w:sz w:val="21"/>
                <w:szCs w:val="21"/>
                <w:lang w:val="en-US" w:eastAsia="zh-CN"/>
              </w:rPr>
              <w:t>车清明</w:t>
            </w:r>
            <w:r>
              <w:rPr>
                <w:rFonts w:hint="eastAsia" w:ascii="Arial" w:hAnsi="Arial" w:eastAsia="宋体" w:cs="Arial"/>
                <w:sz w:val="21"/>
                <w:szCs w:val="21"/>
              </w:rPr>
              <w:t>，</w:t>
            </w:r>
            <w:r>
              <w:rPr>
                <w:rFonts w:hint="eastAsia" w:ascii="Arial" w:hAnsi="Arial" w:eastAsia="宋体" w:cs="Arial"/>
                <w:sz w:val="21"/>
                <w:szCs w:val="21"/>
                <w:lang w:val="en-US" w:eastAsia="zh-CN"/>
              </w:rPr>
              <w:t>中国农业大学出版社，2022，9787565528361</w:t>
            </w:r>
            <w:r>
              <w:rPr>
                <w:rFonts w:ascii="Arial" w:hAnsi="Arial" w:eastAsia="宋体" w:cs="Arial"/>
                <w:sz w:val="21"/>
                <w:szCs w:val="21"/>
              </w:rPr>
              <w:t>)</w:t>
            </w:r>
          </w:p>
        </w:tc>
      </w:tr>
      <w:tr w14:paraId="5DAB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vAlign w:val="center"/>
          </w:tcPr>
          <w:p w14:paraId="33CF9BB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315" w:type="dxa"/>
            <w:gridSpan w:val="3"/>
            <w:tcBorders>
              <w:top w:val="single" w:color="auto" w:sz="4" w:space="0"/>
              <w:left w:val="single" w:color="auto" w:sz="4" w:space="0"/>
              <w:right w:val="single" w:color="auto" w:sz="4" w:space="0"/>
            </w:tcBorders>
            <w:vAlign w:val="top"/>
          </w:tcPr>
          <w:p w14:paraId="7AAC5C27">
            <w:pPr>
              <w:widowControl/>
              <w:jc w:val="left"/>
              <w:rPr>
                <w:rFonts w:hint="eastAsia" w:eastAsiaTheme="minorEastAsia"/>
                <w:sz w:val="21"/>
                <w:szCs w:val="21"/>
                <w:lang w:val="en-US" w:eastAsia="zh-CN"/>
              </w:rPr>
            </w:pPr>
            <w:r>
              <w:rPr>
                <w:rFonts w:hint="eastAsia"/>
                <w:sz w:val="21"/>
                <w:szCs w:val="21"/>
                <w:lang w:val="en-US" w:eastAsia="zh-CN"/>
              </w:rPr>
              <w:t>马平</w:t>
            </w:r>
          </w:p>
        </w:tc>
        <w:tc>
          <w:tcPr>
            <w:tcW w:w="1059" w:type="dxa"/>
            <w:tcBorders>
              <w:top w:val="single" w:color="auto" w:sz="4" w:space="0"/>
              <w:left w:val="single" w:color="auto" w:sz="4" w:space="0"/>
              <w:bottom w:val="single" w:color="auto" w:sz="4" w:space="0"/>
              <w:right w:val="single" w:color="auto" w:sz="4" w:space="0"/>
            </w:tcBorders>
            <w:vAlign w:val="center"/>
          </w:tcPr>
          <w:p w14:paraId="7F6FE3E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314" w:type="dxa"/>
            <w:tcBorders>
              <w:top w:val="single" w:color="auto" w:sz="4" w:space="0"/>
              <w:left w:val="single" w:color="auto" w:sz="4" w:space="0"/>
              <w:bottom w:val="single" w:color="auto" w:sz="4" w:space="0"/>
              <w:right w:val="single" w:color="auto" w:sz="4" w:space="0"/>
            </w:tcBorders>
            <w:vAlign w:val="center"/>
          </w:tcPr>
          <w:p w14:paraId="3941DA1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47F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dxa"/>
            <w:tcBorders>
              <w:top w:val="single" w:color="auto" w:sz="4" w:space="0"/>
              <w:left w:val="single" w:color="auto" w:sz="4" w:space="0"/>
              <w:right w:val="single" w:color="auto" w:sz="4" w:space="0"/>
            </w:tcBorders>
            <w:vAlign w:val="center"/>
          </w:tcPr>
          <w:p w14:paraId="04BA590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315" w:type="dxa"/>
            <w:gridSpan w:val="3"/>
            <w:tcBorders>
              <w:top w:val="single" w:color="auto" w:sz="4" w:space="0"/>
              <w:left w:val="single" w:color="auto" w:sz="4" w:space="0"/>
              <w:right w:val="single" w:color="auto" w:sz="4" w:space="0"/>
            </w:tcBorders>
            <w:vAlign w:val="top"/>
          </w:tcPr>
          <w:p w14:paraId="6B4A90A9">
            <w:pPr>
              <w:widowControl/>
              <w:jc w:val="left"/>
              <w:rPr>
                <w:rFonts w:hint="eastAsia" w:eastAsiaTheme="minorEastAsia"/>
                <w:sz w:val="21"/>
                <w:szCs w:val="21"/>
                <w:lang w:val="en-US" w:eastAsia="zh-CN"/>
              </w:rPr>
            </w:pPr>
            <w:r>
              <w:rPr>
                <w:rFonts w:hint="eastAsia"/>
                <w:sz w:val="21"/>
                <w:szCs w:val="21"/>
                <w:lang w:val="en-US" w:eastAsia="zh-CN"/>
              </w:rPr>
              <w:t>谭聪</w:t>
            </w:r>
          </w:p>
        </w:tc>
        <w:tc>
          <w:tcPr>
            <w:tcW w:w="1059" w:type="dxa"/>
            <w:tcBorders>
              <w:top w:val="single" w:color="auto" w:sz="4" w:space="0"/>
              <w:left w:val="single" w:color="auto" w:sz="4" w:space="0"/>
              <w:bottom w:val="single" w:color="auto" w:sz="4" w:space="0"/>
              <w:right w:val="single" w:color="auto" w:sz="4" w:space="0"/>
            </w:tcBorders>
            <w:vAlign w:val="center"/>
          </w:tcPr>
          <w:p w14:paraId="4D361CB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314" w:type="dxa"/>
            <w:tcBorders>
              <w:top w:val="single" w:color="auto" w:sz="4" w:space="0"/>
              <w:left w:val="single" w:color="auto" w:sz="4" w:space="0"/>
              <w:bottom w:val="single" w:color="auto" w:sz="4" w:space="0"/>
              <w:right w:val="single" w:color="auto" w:sz="4" w:space="0"/>
            </w:tcBorders>
            <w:vAlign w:val="center"/>
          </w:tcPr>
          <w:p w14:paraId="51582964">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39AD639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2E615DA">
      <w:pPr>
        <w:pStyle w:val="3"/>
        <w:bidi w:val="0"/>
        <w:rPr>
          <w:rFonts w:hint="eastAsia"/>
          <w:lang w:val="en-US" w:eastAsia="zh-CN"/>
        </w:rPr>
      </w:pPr>
      <w:r>
        <w:rPr>
          <w:rFonts w:hint="eastAsia"/>
          <w:lang w:val="en-US" w:eastAsia="zh-CN"/>
        </w:rPr>
        <w:t>二、课程定位</w:t>
      </w:r>
    </w:p>
    <w:p w14:paraId="6984BB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依法执业</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运用兽医相关法律法规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动物防疫检疫岗位实习</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28D0726C">
      <w:pPr>
        <w:pStyle w:val="3"/>
        <w:bidi w:val="0"/>
        <w:rPr>
          <w:rFonts w:hint="eastAsia"/>
          <w:lang w:val="en-US" w:eastAsia="zh-CN"/>
        </w:rPr>
      </w:pPr>
      <w:r>
        <w:rPr>
          <w:rFonts w:hint="eastAsia"/>
          <w:lang w:val="en-US" w:eastAsia="zh-CN"/>
        </w:rPr>
        <w:t>三、课程设计思路</w:t>
      </w:r>
    </w:p>
    <w:p w14:paraId="7F618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w:t>
      </w:r>
      <w:r>
        <w:rPr>
          <w:rFonts w:hint="default" w:asciiTheme="minorEastAsia" w:hAnsiTheme="minorEastAsia" w:eastAsiaTheme="minorEastAsia" w:cstheme="minorEastAsia"/>
          <w:sz w:val="24"/>
          <w:szCs w:val="24"/>
          <w:lang w:val="en-US" w:eastAsia="zh-CN"/>
        </w:rPr>
        <w:t>本课程设计以高职畜牧兽医类专业人才培养方案为依据，紧扣兽医、动物防疫、畜禽产品质量监管等岗位核心要求，遵循 “法律知识够用、实操技能过硬、职业素养达标” 的原则：​</w:t>
      </w:r>
    </w:p>
    <w:p w14:paraId="328954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需求导向：调研兽医行业违法违规典型案例（如检疫造假、假劣兽药经营、诊疗纠纷等），提炼岗位必备的法律合规能力，确保课程内容与实际工作无缝对接；​</w:t>
      </w:r>
    </w:p>
    <w:p w14:paraId="271C62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考证衔接：对标执业兽医资格考试中法律法规模块的考点要求，将《动物防疫法》《兽药管理条例》等核心条款融入知识点，为学生考证奠定基础；​</w:t>
      </w:r>
    </w:p>
    <w:p w14:paraId="15153F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素养为先：将思政元素贯穿教学全过程，通过法律责任案例、行业职业道德规范讲解，培养学生 “依法执业、诚信服务、责任担当” 的职业底色。</w:t>
      </w:r>
      <w:r>
        <w:rPr>
          <w:rFonts w:hint="eastAsia" w:asciiTheme="minorEastAsia" w:hAnsiTheme="minorEastAsia" w:eastAsiaTheme="minorEastAsia" w:cstheme="minorEastAsia"/>
          <w:sz w:val="24"/>
          <w:szCs w:val="24"/>
          <w:lang w:val="en-US" w:eastAsia="zh-CN"/>
        </w:rPr>
        <w:t>。</w:t>
      </w:r>
    </w:p>
    <w:p w14:paraId="29B2B6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616FE48">
      <w:pPr>
        <w:pStyle w:val="3"/>
        <w:bidi w:val="0"/>
        <w:rPr>
          <w:rFonts w:hint="eastAsia"/>
          <w:lang w:val="en-US" w:eastAsia="zh-CN"/>
        </w:rPr>
      </w:pPr>
      <w:r>
        <w:rPr>
          <w:rFonts w:hint="eastAsia"/>
          <w:lang w:val="en-US" w:eastAsia="zh-CN"/>
        </w:rPr>
        <w:t>四、课程目标</w:t>
      </w:r>
    </w:p>
    <w:p w14:paraId="35C4EA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97A3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1.掌握《中华人民共和国动物防疫法》《中华人民共和国畜牧法》《中华人民共和国兽药管理条例》等核心法律法规的主要内容。</w:t>
      </w:r>
    </w:p>
    <w:p w14:paraId="3B5A2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熟悉动物疫病的预防、控制、扑灭的法律程序，以及动物检疫的法定要求。</w:t>
      </w:r>
    </w:p>
    <w:p w14:paraId="404C1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了解动物诊疗机构、执业兽医的准入条件与法律责任，兽药、饲料添加剂的管理规范。</w:t>
      </w:r>
    </w:p>
    <w:p w14:paraId="2F682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知晓畜禽产品质量安全、动物源性食品安全相关的法律规定。</w:t>
      </w:r>
    </w:p>
    <w:p w14:paraId="21642E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1FCD7E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1.能够运用动物防疫法知识，识别养殖、诊疗环节中的违法违规行为。</w:t>
      </w:r>
    </w:p>
    <w:p w14:paraId="4DB33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具备规范填写动物检疫证明、免疫档案等法律文书的能力。</w:t>
      </w:r>
    </w:p>
    <w:p w14:paraId="7CADF9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能在模拟动物诊疗、兽药经营场景中，依法开展操作并规避法律风险。</w:t>
      </w:r>
    </w:p>
    <w:p w14:paraId="1A9118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学会查阅和运用兽医相关法律法规，解决实际工作中的法律问题。</w:t>
      </w:r>
    </w:p>
    <w:p w14:paraId="142F69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F7CE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1.树立依法执业、依规从业的职业理念，增强法律意识与责任意识。</w:t>
      </w:r>
    </w:p>
    <w:p w14:paraId="47DA87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培养严谨细致的工作态度，提升职业道德素养。</w:t>
      </w:r>
    </w:p>
    <w:p w14:paraId="6C35DD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强化畜禽产品质量安全意识，树立保障公共卫生安全的责任感。</w:t>
      </w:r>
    </w:p>
    <w:p w14:paraId="06331B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58CD7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1FC6E7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1FB168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29A669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759774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15F75A58">
      <w:pPr>
        <w:pStyle w:val="3"/>
        <w:bidi w:val="0"/>
        <w:rPr>
          <w:rFonts w:hint="eastAsia"/>
          <w:lang w:val="en-US" w:eastAsia="zh-CN"/>
        </w:rPr>
      </w:pPr>
      <w:r>
        <w:rPr>
          <w:rFonts w:hint="eastAsia"/>
          <w:lang w:val="en-US" w:eastAsia="zh-CN"/>
        </w:rPr>
        <w:t>五、课程内容和要求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849"/>
        <w:gridCol w:w="2395"/>
        <w:gridCol w:w="2129"/>
        <w:gridCol w:w="1593"/>
        <w:gridCol w:w="707"/>
      </w:tblGrid>
      <w:tr w14:paraId="601B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2F45EB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767912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938" w:type="pct"/>
            <w:vAlign w:val="center"/>
          </w:tcPr>
          <w:p w14:paraId="1F6EE9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215" w:type="pct"/>
            <w:vAlign w:val="center"/>
          </w:tcPr>
          <w:p w14:paraId="5DEF94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80" w:type="pct"/>
            <w:vAlign w:val="center"/>
          </w:tcPr>
          <w:p w14:paraId="78F201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08" w:type="pct"/>
            <w:vAlign w:val="center"/>
          </w:tcPr>
          <w:p w14:paraId="1C7AF6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58" w:type="pct"/>
            <w:vAlign w:val="center"/>
          </w:tcPr>
          <w:p w14:paraId="78CBAB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0221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6864BA0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兽医法律法规基</w:t>
            </w:r>
          </w:p>
        </w:tc>
        <w:tc>
          <w:tcPr>
            <w:tcW w:w="938" w:type="pct"/>
            <w:vAlign w:val="center"/>
          </w:tcPr>
          <w:p w14:paraId="7D9F3DA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础法的概念、兽医法律法规体系、兽医法律关系与法律责任</w:t>
            </w:r>
          </w:p>
        </w:tc>
        <w:tc>
          <w:tcPr>
            <w:tcW w:w="1215" w:type="pct"/>
            <w:vAlign w:val="center"/>
          </w:tcPr>
          <w:p w14:paraId="69D89D0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法的本质、特征与分类；2. 兽医法律法规的层级结构（法律、行政法规、部门规章等）；3. 兽医法律关系的构成要素（主体、客体、内容）；. 行政责任、民事责任、刑事责任的认定标准</w:t>
            </w:r>
          </w:p>
        </w:tc>
        <w:tc>
          <w:tcPr>
            <w:tcW w:w="1080" w:type="pct"/>
            <w:vAlign w:val="center"/>
          </w:tcPr>
          <w:p w14:paraId="435499C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区分不同层级兽医法律法规的效力； 识别兽医法律关系中的权利与义务；&gt;3. 初步判断兽医相关行为的法律责任类型</w:t>
            </w:r>
          </w:p>
        </w:tc>
        <w:tc>
          <w:tcPr>
            <w:tcW w:w="808" w:type="pct"/>
            <w:vAlign w:val="center"/>
          </w:tcPr>
          <w:p w14:paraId="3F013C6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color w:val="FF0000"/>
                <w:sz w:val="21"/>
                <w:szCs w:val="21"/>
                <w:lang w:val="en-US" w:eastAsia="zh-CN"/>
              </w:rPr>
            </w:pPr>
            <w:r>
              <w:rPr>
                <w:rFonts w:hint="eastAsia" w:ascii="宋体" w:hAnsi="宋体" w:eastAsia="宋体" w:cs="宋体"/>
                <w:kern w:val="0"/>
                <w:sz w:val="21"/>
                <w:szCs w:val="21"/>
                <w:lang w:val="en-US" w:eastAsia="zh-CN" w:bidi="ar"/>
              </w:rPr>
              <w:t>职业道德（坚守行业底线）、工匠精神（严谨对待法律规范）、法律意识（树立依法从业理念）</w:t>
            </w:r>
          </w:p>
        </w:tc>
        <w:tc>
          <w:tcPr>
            <w:tcW w:w="358" w:type="pct"/>
            <w:vAlign w:val="center"/>
          </w:tcPr>
          <w:p w14:paraId="7EEBA0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30C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4176CF3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动物防疫法律制度</w:t>
            </w:r>
          </w:p>
        </w:tc>
        <w:tc>
          <w:tcPr>
            <w:tcW w:w="938" w:type="pct"/>
            <w:vAlign w:val="center"/>
          </w:tcPr>
          <w:p w14:paraId="0A22A4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《动物防疫法》总则、动物疫病的分类与管理、动物防疫条件审查、疫情报告与处置</w:t>
            </w:r>
          </w:p>
        </w:tc>
        <w:tc>
          <w:tcPr>
            <w:tcW w:w="1215" w:type="pct"/>
            <w:vAlign w:val="center"/>
          </w:tcPr>
          <w:p w14:paraId="2F9BF20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《动物防疫法》的立法宗旨与适用范围；. 一类、二类、三类动物疫病的划分标准与防控要求；&gt;3. 动物饲养、屠宰、经营场所的防疫条件；4. 疫情报告的主体、程序与应急处置措施</w:t>
            </w:r>
          </w:p>
        </w:tc>
        <w:tc>
          <w:tcPr>
            <w:tcW w:w="1080" w:type="pct"/>
            <w:vAlign w:val="center"/>
          </w:tcPr>
          <w:p w14:paraId="4770FC0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规范填写动物防疫相关记录； 识别常见动物疫病的防控合规要点；&gt;3. 协助开展疫情应急处置的基础工作</w:t>
            </w:r>
          </w:p>
        </w:tc>
        <w:tc>
          <w:tcPr>
            <w:tcW w:w="808" w:type="pct"/>
            <w:vAlign w:val="center"/>
          </w:tcPr>
          <w:p w14:paraId="664E024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责任担当（筑牢动物防疫防线）、法治观念（严格执行防疫规定）</w:t>
            </w:r>
          </w:p>
        </w:tc>
        <w:tc>
          <w:tcPr>
            <w:tcW w:w="358" w:type="pct"/>
            <w:vAlign w:val="center"/>
          </w:tcPr>
          <w:p w14:paraId="7F3C54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2F41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293BA14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动物检疫法律制度</w:t>
            </w:r>
          </w:p>
        </w:tc>
        <w:tc>
          <w:tcPr>
            <w:tcW w:w="938" w:type="pct"/>
            <w:vAlign w:val="center"/>
          </w:tcPr>
          <w:p w14:paraId="2B1A12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动物检疫的分类、检疫程序、检疫证明与标志管理、跨省调运检疫要求</w:t>
            </w:r>
          </w:p>
        </w:tc>
        <w:tc>
          <w:tcPr>
            <w:tcW w:w="1215" w:type="pct"/>
            <w:vAlign w:val="center"/>
          </w:tcPr>
          <w:p w14:paraId="02535D4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产地检疫、屠宰检疫、运输检疫的适用场景；2. 检疫申报、现场检疫、实验室检测的操作规范；3. 检疫证明的填写要求、有效期与管理规定；&gt;4. 跨省调运动物及产品的检疫流程与备案要求</w:t>
            </w:r>
          </w:p>
        </w:tc>
        <w:tc>
          <w:tcPr>
            <w:tcW w:w="1080" w:type="pct"/>
            <w:vAlign w:val="center"/>
          </w:tcPr>
          <w:p w14:paraId="599275C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按照程序完成检疫申报与材料提交；2. 规范填写检疫证明及相关文书；. 识别跨省调运检疫中的合规风险点</w:t>
            </w:r>
          </w:p>
        </w:tc>
        <w:tc>
          <w:tcPr>
            <w:tcW w:w="808" w:type="pct"/>
            <w:vAlign w:val="center"/>
          </w:tcPr>
          <w:p w14:paraId="236320A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诚信意识（如实申报检疫信息）、专业素养（精准执行检疫标准）</w:t>
            </w:r>
          </w:p>
        </w:tc>
        <w:tc>
          <w:tcPr>
            <w:tcW w:w="358" w:type="pct"/>
            <w:vAlign w:val="center"/>
          </w:tcPr>
          <w:p w14:paraId="49FD185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33F9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0243CE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动物诊疗与执业兽医管理</w:t>
            </w:r>
          </w:p>
        </w:tc>
        <w:tc>
          <w:tcPr>
            <w:tcW w:w="938" w:type="pct"/>
            <w:vAlign w:val="center"/>
          </w:tcPr>
          <w:p w14:paraId="04217E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动物诊疗机构的设立条件与审批、执业兽医资格考试与注册、诊疗活动法律规范</w:t>
            </w:r>
          </w:p>
        </w:tc>
        <w:tc>
          <w:tcPr>
            <w:tcW w:w="1215" w:type="pct"/>
            <w:vAlign w:val="center"/>
          </w:tcPr>
          <w:p w14:paraId="5BFAA1F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动物诊疗机构的设立条件、审批程序与经营范围；. 执业兽医的报考条件、注册要求与执业规范；. 诊疗活动中的病历书写、用药规范与纠纷处理；. 动物诊疗废弃物的处理要求</w:t>
            </w:r>
          </w:p>
        </w:tc>
        <w:tc>
          <w:tcPr>
            <w:tcW w:w="1080" w:type="pct"/>
            <w:vAlign w:val="center"/>
          </w:tcPr>
          <w:p w14:paraId="4A25515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制定动物诊疗机构设立的材料清单；&gt;2. 规范书写动物诊疗病历与处方；3. 处理简单的诊疗合规问题</w:t>
            </w:r>
          </w:p>
        </w:tc>
        <w:tc>
          <w:tcPr>
            <w:tcW w:w="808" w:type="pct"/>
            <w:vAlign w:val="center"/>
          </w:tcPr>
          <w:p w14:paraId="182B985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职业操守（保障动物诊疗安全）、法治思维（依法开展诊疗活动）</w:t>
            </w:r>
          </w:p>
        </w:tc>
        <w:tc>
          <w:tcPr>
            <w:tcW w:w="358" w:type="pct"/>
            <w:vAlign w:val="center"/>
          </w:tcPr>
          <w:p w14:paraId="319D6B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5362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65F907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兽药与饲料管理法律制度</w:t>
            </w:r>
          </w:p>
        </w:tc>
        <w:tc>
          <w:tcPr>
            <w:tcW w:w="938" w:type="pct"/>
            <w:vAlign w:val="center"/>
          </w:tcPr>
          <w:p w14:paraId="2C8CBA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《兽药管理条例》、兽药生产经营许可、假劣兽药判定、饲料添加剂安全管理</w:t>
            </w:r>
          </w:p>
        </w:tc>
        <w:tc>
          <w:tcPr>
            <w:tcW w:w="1215" w:type="pct"/>
            <w:vAlign w:val="center"/>
          </w:tcPr>
          <w:p w14:paraId="4624C77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《兽药管理条例》的核心条款与监管要求；2. 兽药生产、经营许可证的申请条件与审批流程；3. 假劣兽药的判定标准与法律责任；&gt;4. 饲料添加剂的使用范围、剂量限制与安全要求</w:t>
            </w:r>
          </w:p>
        </w:tc>
        <w:tc>
          <w:tcPr>
            <w:tcW w:w="1080" w:type="pct"/>
            <w:vAlign w:val="center"/>
          </w:tcPr>
          <w:p w14:paraId="04EA9C5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识别假劣兽药的外观特征与标识差异； 规范记录兽药采购、储存与使用情况；3. 审核饲料添加剂的使用合规性</w:t>
            </w:r>
          </w:p>
        </w:tc>
        <w:tc>
          <w:tcPr>
            <w:tcW w:w="808" w:type="pct"/>
            <w:vAlign w:val="center"/>
          </w:tcPr>
          <w:p w14:paraId="0798A84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安全意识（守护畜禽产品质量源头）、责任意识（杜绝违规使用兽药饲料）</w:t>
            </w:r>
          </w:p>
        </w:tc>
        <w:tc>
          <w:tcPr>
            <w:tcW w:w="358" w:type="pct"/>
            <w:vAlign w:val="center"/>
          </w:tcPr>
          <w:p w14:paraId="671EA2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1F3A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0970CB8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畜禽产品质量安全法律制度</w:t>
            </w:r>
          </w:p>
        </w:tc>
        <w:tc>
          <w:tcPr>
            <w:tcW w:w="938" w:type="pct"/>
            <w:vAlign w:val="center"/>
          </w:tcPr>
          <w:p w14:paraId="1A26B4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畜禽产品质量安全标准、产地准出与市场准入、食品安全事故处理</w:t>
            </w:r>
          </w:p>
        </w:tc>
        <w:tc>
          <w:tcPr>
            <w:tcW w:w="1215" w:type="pct"/>
            <w:vAlign w:val="center"/>
          </w:tcPr>
          <w:p w14:paraId="5218334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畜禽产品质量安全的国家标准、行业标准与地方标准； 畜禽产品产地准出的检测要求与合格证明； 市场准入中的检验检疫流程与追溯管理；4. 畜禽产品安全事故的报告与处置程序</w:t>
            </w:r>
          </w:p>
        </w:tc>
        <w:tc>
          <w:tcPr>
            <w:tcW w:w="1080" w:type="pct"/>
            <w:vAlign w:val="center"/>
          </w:tcPr>
          <w:p w14:paraId="4B95D8A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协助开展畜禽产品质量安全抽样与检测配合工作； 解读畜禽产品追溯码的相关信息；3. 参与简单安全事故的应急响应</w:t>
            </w:r>
          </w:p>
        </w:tc>
        <w:tc>
          <w:tcPr>
            <w:tcW w:w="808" w:type="pct"/>
            <w:vAlign w:val="center"/>
          </w:tcPr>
          <w:p w14:paraId="0FE1302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民生情怀（保障食品安全底线）、社会责任感（维护公共卫生安全）</w:t>
            </w:r>
          </w:p>
        </w:tc>
        <w:tc>
          <w:tcPr>
            <w:tcW w:w="358" w:type="pct"/>
            <w:vAlign w:val="center"/>
          </w:tcPr>
          <w:p w14:paraId="19B641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0DC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5F538D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综合实训与考核</w:t>
            </w:r>
          </w:p>
        </w:tc>
        <w:tc>
          <w:tcPr>
            <w:tcW w:w="938" w:type="pct"/>
            <w:vAlign w:val="center"/>
          </w:tcPr>
          <w:p w14:paraId="704AE47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模拟案例分析、法律文书填写、综合考核</w:t>
            </w:r>
          </w:p>
        </w:tc>
        <w:tc>
          <w:tcPr>
            <w:tcW w:w="1215" w:type="pct"/>
            <w:vAlign w:val="center"/>
          </w:tcPr>
          <w:p w14:paraId="22D2D3C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跨章节法律规范的综合应用；. 典型兽医法律纠纷的分析思路；3. 各类法律文书的规范填写要点；4. 行业合规风险的识别与应对策略</w:t>
            </w:r>
          </w:p>
        </w:tc>
        <w:tc>
          <w:tcPr>
            <w:tcW w:w="1080" w:type="pct"/>
            <w:vAlign w:val="center"/>
          </w:tcPr>
          <w:p w14:paraId="714047B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 独立完成模拟案例的法律分析与解决方案制定；2. 规范填写检疫证明、诊疗病历、兽药使用记录等核心文书；3. 通过综合场景考核验证合规操作能力</w:t>
            </w:r>
          </w:p>
        </w:tc>
        <w:tc>
          <w:tcPr>
            <w:tcW w:w="808" w:type="pct"/>
            <w:vAlign w:val="center"/>
          </w:tcPr>
          <w:p w14:paraId="61533DE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综合素养（理论联系实际）、法治素养（全面践行行业规范）</w:t>
            </w:r>
          </w:p>
        </w:tc>
        <w:tc>
          <w:tcPr>
            <w:tcW w:w="358" w:type="pct"/>
            <w:vAlign w:val="center"/>
          </w:tcPr>
          <w:p w14:paraId="7B5C54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326E98C6">
      <w:pPr>
        <w:pStyle w:val="3"/>
        <w:bidi w:val="0"/>
        <w:rPr>
          <w:rFonts w:hint="eastAsia"/>
          <w:lang w:val="en-US" w:eastAsia="zh-CN"/>
        </w:rPr>
      </w:pPr>
      <w:r>
        <w:rPr>
          <w:rFonts w:hint="eastAsia"/>
          <w:lang w:val="en-US" w:eastAsia="zh-CN"/>
        </w:rPr>
        <w:t>六、课程考核与评价</w:t>
      </w:r>
    </w:p>
    <w:p w14:paraId="267F6A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D37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9B58C3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2DB815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71261F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898536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127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9AB2C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C1D52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3581C561">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48730015">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25%</w:t>
            </w:r>
          </w:p>
        </w:tc>
        <w:tc>
          <w:tcPr>
            <w:tcW w:w="1942" w:type="pct"/>
            <w:tcBorders>
              <w:left w:val="single" w:color="auto" w:sz="4" w:space="0"/>
              <w:right w:val="single" w:color="auto" w:sz="4" w:space="0"/>
            </w:tcBorders>
            <w:vAlign w:val="center"/>
          </w:tcPr>
          <w:p w14:paraId="66FE2D3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出勤制度（30%）、作业（40%）、课堂提问（30%）</w:t>
            </w:r>
          </w:p>
        </w:tc>
      </w:tr>
      <w:tr w14:paraId="0648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BBF28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84BA4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38D19DD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2515F55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15%</w:t>
            </w:r>
          </w:p>
        </w:tc>
        <w:tc>
          <w:tcPr>
            <w:tcW w:w="1942" w:type="pct"/>
            <w:tcBorders>
              <w:left w:val="single" w:color="auto" w:sz="4" w:space="0"/>
              <w:right w:val="single" w:color="auto" w:sz="4" w:space="0"/>
            </w:tcBorders>
            <w:vAlign w:val="center"/>
          </w:tcPr>
          <w:p w14:paraId="42C643E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以试卷或提问考核的方式对单元的基本知识和重点内容进行考核</w:t>
            </w:r>
          </w:p>
        </w:tc>
      </w:tr>
      <w:tr w14:paraId="2CCD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0CEEA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023515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1E9E7EA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以应用法律法规进行案例分析</w:t>
            </w:r>
          </w:p>
        </w:tc>
        <w:tc>
          <w:tcPr>
            <w:tcW w:w="719" w:type="pct"/>
            <w:tcBorders>
              <w:left w:val="single" w:color="auto" w:sz="4" w:space="0"/>
              <w:right w:val="single" w:color="auto" w:sz="4" w:space="0"/>
            </w:tcBorders>
            <w:vAlign w:val="center"/>
          </w:tcPr>
          <w:p w14:paraId="4EDE5EB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38CC025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以运用兽医法律法规的能力进行考核</w:t>
            </w:r>
          </w:p>
        </w:tc>
      </w:tr>
      <w:tr w14:paraId="3341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6F252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69CE33D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6AE3A43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38AA562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lang w:val="en-US" w:eastAsia="zh-CN"/>
                <w14:textFill>
                  <w14:solidFill>
                    <w14:schemeClr w14:val="tx1"/>
                  </w14:solidFill>
                </w14:textFill>
              </w:rPr>
              <w:t>对课程进行总体考核，考试学生对基本知识和基本技能的掌握程度</w:t>
            </w:r>
          </w:p>
        </w:tc>
      </w:tr>
    </w:tbl>
    <w:p w14:paraId="182D2477">
      <w:pPr>
        <w:pStyle w:val="3"/>
        <w:bidi w:val="0"/>
        <w:rPr>
          <w:rFonts w:hint="eastAsia"/>
          <w:lang w:val="en-US" w:eastAsia="zh-CN"/>
        </w:rPr>
      </w:pPr>
      <w:r>
        <w:rPr>
          <w:rFonts w:hint="eastAsia"/>
          <w:lang w:val="en-US" w:eastAsia="zh-CN"/>
        </w:rPr>
        <w:t>七、课程实施与保障</w:t>
      </w:r>
    </w:p>
    <w:p w14:paraId="2295A1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62B9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56DE2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B9DD9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依法执业”、“严于律法”的课程思政价值链，结合中国科学家以及行业畜牧兽医师的经历，将依法执业意识传递给学生，促使专业知识与思政教育水乳交融。融入产业行业发展形势政策，增强学生的学习动力；融入行业知名工匠事迹，培养学生工匠精神；融入安全教育，提高学生安全意识和防御安全能力，融入国防教学，树立学生科技报国的志向。</w:t>
      </w:r>
    </w:p>
    <w:p w14:paraId="3C6D44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BF8AE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C503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13FE3B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444AB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592"/>
        <w:gridCol w:w="4090"/>
        <w:gridCol w:w="2488"/>
      </w:tblGrid>
      <w:tr w14:paraId="7D08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49" w:type="pct"/>
            <w:noWrap w:val="0"/>
            <w:vAlign w:val="center"/>
          </w:tcPr>
          <w:p w14:paraId="251C6961">
            <w:pPr>
              <w:pStyle w:val="9"/>
              <w:ind w:firstLine="0" w:firstLineChars="0"/>
              <w:jc w:val="center"/>
              <w:rPr>
                <w:rFonts w:ascii="宋体" w:hAnsi="宋体" w:cs="宋体"/>
                <w:iCs/>
                <w:sz w:val="21"/>
                <w:szCs w:val="21"/>
              </w:rPr>
            </w:pPr>
            <w:r>
              <w:rPr>
                <w:rFonts w:hint="eastAsia" w:ascii="宋体" w:hAnsi="宋体" w:cs="宋体"/>
                <w:iCs/>
                <w:sz w:val="21"/>
                <w:szCs w:val="21"/>
              </w:rPr>
              <w:t>序号</w:t>
            </w:r>
          </w:p>
        </w:tc>
        <w:tc>
          <w:tcPr>
            <w:tcW w:w="1314" w:type="pct"/>
            <w:noWrap w:val="0"/>
            <w:vAlign w:val="center"/>
          </w:tcPr>
          <w:p w14:paraId="294D8075">
            <w:pPr>
              <w:pStyle w:val="9"/>
              <w:ind w:firstLine="0" w:firstLineChars="0"/>
              <w:jc w:val="center"/>
              <w:rPr>
                <w:rFonts w:ascii="宋体" w:hAnsi="宋体" w:cs="宋体"/>
                <w:iCs/>
                <w:sz w:val="21"/>
                <w:szCs w:val="21"/>
              </w:rPr>
            </w:pPr>
            <w:r>
              <w:rPr>
                <w:rFonts w:hint="eastAsia" w:ascii="宋体" w:hAnsi="宋体" w:cs="宋体"/>
                <w:iCs/>
                <w:sz w:val="21"/>
                <w:szCs w:val="21"/>
              </w:rPr>
              <w:t>名称</w:t>
            </w:r>
          </w:p>
        </w:tc>
        <w:tc>
          <w:tcPr>
            <w:tcW w:w="2073" w:type="pct"/>
            <w:noWrap w:val="0"/>
            <w:vAlign w:val="center"/>
          </w:tcPr>
          <w:p w14:paraId="1B71B342">
            <w:pPr>
              <w:pStyle w:val="9"/>
              <w:ind w:firstLine="0" w:firstLineChars="0"/>
              <w:jc w:val="center"/>
              <w:rPr>
                <w:rFonts w:ascii="宋体" w:hAnsi="宋体" w:cs="宋体"/>
                <w:iCs/>
                <w:sz w:val="21"/>
                <w:szCs w:val="21"/>
              </w:rPr>
            </w:pPr>
            <w:r>
              <w:rPr>
                <w:rFonts w:hint="eastAsia" w:ascii="宋体" w:hAnsi="宋体" w:cs="宋体"/>
                <w:iCs/>
                <w:sz w:val="21"/>
                <w:szCs w:val="21"/>
              </w:rPr>
              <w:t>基本配置要求</w:t>
            </w:r>
          </w:p>
        </w:tc>
        <w:tc>
          <w:tcPr>
            <w:tcW w:w="1261" w:type="pct"/>
            <w:noWrap w:val="0"/>
            <w:vAlign w:val="center"/>
          </w:tcPr>
          <w:p w14:paraId="5FB18B3A">
            <w:pPr>
              <w:pStyle w:val="9"/>
              <w:ind w:firstLine="0" w:firstLineChars="0"/>
              <w:jc w:val="center"/>
              <w:rPr>
                <w:rFonts w:ascii="宋体" w:hAnsi="宋体" w:cs="宋体"/>
                <w:iCs/>
                <w:sz w:val="21"/>
                <w:szCs w:val="21"/>
              </w:rPr>
            </w:pPr>
            <w:r>
              <w:rPr>
                <w:rFonts w:hint="eastAsia" w:ascii="宋体" w:hAnsi="宋体" w:cs="宋体"/>
                <w:iCs/>
                <w:sz w:val="21"/>
                <w:szCs w:val="21"/>
              </w:rPr>
              <w:t>功能说明</w:t>
            </w:r>
          </w:p>
        </w:tc>
      </w:tr>
      <w:tr w14:paraId="7CF6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349" w:type="pct"/>
            <w:noWrap w:val="0"/>
            <w:vAlign w:val="center"/>
          </w:tcPr>
          <w:p w14:paraId="17472BD6">
            <w:pPr>
              <w:pStyle w:val="9"/>
              <w:ind w:firstLine="0" w:firstLineChars="0"/>
              <w:jc w:val="center"/>
              <w:rPr>
                <w:rFonts w:ascii="宋体" w:hAnsi="宋体" w:cs="宋体"/>
                <w:iCs/>
                <w:sz w:val="21"/>
                <w:szCs w:val="21"/>
              </w:rPr>
            </w:pPr>
            <w:r>
              <w:rPr>
                <w:rFonts w:hint="eastAsia" w:ascii="宋体" w:hAnsi="宋体" w:cs="宋体"/>
                <w:iCs/>
                <w:sz w:val="21"/>
                <w:szCs w:val="21"/>
              </w:rPr>
              <w:t>1</w:t>
            </w:r>
          </w:p>
        </w:tc>
        <w:tc>
          <w:tcPr>
            <w:tcW w:w="1314" w:type="pct"/>
            <w:noWrap w:val="0"/>
            <w:vAlign w:val="center"/>
          </w:tcPr>
          <w:p w14:paraId="46F72EF8">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73" w:type="pct"/>
            <w:noWrap w:val="0"/>
            <w:vAlign w:val="center"/>
          </w:tcPr>
          <w:p w14:paraId="506564E1">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61" w:type="pct"/>
            <w:noWrap w:val="0"/>
            <w:vAlign w:val="center"/>
          </w:tcPr>
          <w:p w14:paraId="156BDB19">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0C98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49" w:type="pct"/>
            <w:noWrap w:val="0"/>
            <w:vAlign w:val="center"/>
          </w:tcPr>
          <w:p w14:paraId="0F923836">
            <w:pPr>
              <w:pStyle w:val="9"/>
              <w:ind w:firstLine="0" w:firstLineChars="0"/>
              <w:jc w:val="center"/>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14" w:type="pct"/>
            <w:noWrap w:val="0"/>
            <w:vAlign w:val="center"/>
          </w:tcPr>
          <w:p w14:paraId="187BB6BC">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虚拟仿真实训室</w:t>
            </w:r>
          </w:p>
        </w:tc>
        <w:tc>
          <w:tcPr>
            <w:tcW w:w="2073" w:type="pct"/>
            <w:noWrap w:val="0"/>
            <w:vAlign w:val="center"/>
          </w:tcPr>
          <w:p w14:paraId="07A63453">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办公软件</w:t>
            </w:r>
          </w:p>
        </w:tc>
        <w:tc>
          <w:tcPr>
            <w:tcW w:w="1261" w:type="pct"/>
            <w:noWrap w:val="0"/>
            <w:vAlign w:val="center"/>
          </w:tcPr>
          <w:p w14:paraId="0D8135FD">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案例分析报告</w:t>
            </w:r>
          </w:p>
        </w:tc>
      </w:tr>
    </w:tbl>
    <w:p w14:paraId="52545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A3B60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（1）基本教学资源：基本教学资源：课程标准、授课计划、教案、课件、习题集、实验指导书、参考书、考核方案等。</w:t>
      </w:r>
    </w:p>
    <w:p w14:paraId="288A835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p w14:paraId="5EB05C3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4F2E08D">
      <w:pPr>
        <w:pStyle w:val="2"/>
        <w:bidi w:val="0"/>
        <w:rPr>
          <w:rFonts w:hint="eastAsia"/>
          <w:lang w:val="en-US" w:eastAsia="zh-CN"/>
        </w:rPr>
      </w:pPr>
      <w:bookmarkStart w:id="46" w:name="_Toc14514"/>
      <w:bookmarkStart w:id="47" w:name="_Toc17985"/>
      <w:r>
        <w:rPr>
          <w:rFonts w:hint="eastAsia"/>
          <w:lang w:val="en-US" w:eastAsia="zh-CN"/>
        </w:rPr>
        <w:t>《兽医资格证考试培训》课程标准</w:t>
      </w:r>
      <w:bookmarkEnd w:id="46"/>
      <w:bookmarkEnd w:id="47"/>
    </w:p>
    <w:p w14:paraId="52A59F78">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0809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FA4378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D825CD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兽医资格证考试培训</w:t>
            </w:r>
          </w:p>
        </w:tc>
        <w:tc>
          <w:tcPr>
            <w:tcW w:w="975" w:type="dxa"/>
            <w:tcBorders>
              <w:top w:val="single" w:color="auto" w:sz="4" w:space="0"/>
              <w:left w:val="single" w:color="auto" w:sz="4" w:space="0"/>
              <w:bottom w:val="single" w:color="auto" w:sz="4" w:space="0"/>
              <w:right w:val="single" w:color="auto" w:sz="4" w:space="0"/>
            </w:tcBorders>
            <w:vAlign w:val="center"/>
          </w:tcPr>
          <w:p w14:paraId="6ED5B3A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F3A36E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xcxm24020</w:t>
            </w:r>
          </w:p>
        </w:tc>
      </w:tr>
      <w:tr w14:paraId="4F33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AC0658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23B3756">
            <w:pPr>
              <w:jc w:val="center"/>
              <w:rPr>
                <w:rFonts w:hint="default" w:eastAsiaTheme="minorEastAsia"/>
                <w:sz w:val="21"/>
                <w:szCs w:val="21"/>
                <w:lang w:val="en-US" w:eastAsia="zh-CN"/>
              </w:rPr>
            </w:pPr>
            <w:r>
              <w:rPr>
                <w:rFonts w:hint="eastAsia"/>
                <w:sz w:val="21"/>
                <w:szCs w:val="21"/>
                <w:lang w:val="en-US" w:eastAsia="zh-CN"/>
              </w:rPr>
              <w:t>42学时</w:t>
            </w:r>
          </w:p>
        </w:tc>
        <w:tc>
          <w:tcPr>
            <w:tcW w:w="1595" w:type="dxa"/>
            <w:tcBorders>
              <w:top w:val="single" w:color="auto" w:sz="4" w:space="0"/>
              <w:left w:val="single" w:color="auto" w:sz="4" w:space="0"/>
              <w:bottom w:val="single" w:color="auto" w:sz="4" w:space="0"/>
              <w:right w:val="single" w:color="auto" w:sz="4" w:space="0"/>
            </w:tcBorders>
          </w:tcPr>
          <w:p w14:paraId="3EF07F1A">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6DA5AC1">
            <w:pPr>
              <w:jc w:val="center"/>
              <w:rPr>
                <w:rFonts w:hint="eastAsia"/>
                <w:sz w:val="21"/>
                <w:szCs w:val="21"/>
                <w:lang w:val="en-US" w:eastAsia="zh-CN"/>
              </w:rPr>
            </w:pPr>
            <w:r>
              <w:rPr>
                <w:rFonts w:hint="eastAsia"/>
                <w:sz w:val="21"/>
                <w:szCs w:val="21"/>
                <w:lang w:val="en-US" w:eastAsia="zh-CN"/>
              </w:rPr>
              <w:t>12学时</w:t>
            </w:r>
          </w:p>
        </w:tc>
        <w:tc>
          <w:tcPr>
            <w:tcW w:w="975" w:type="dxa"/>
            <w:tcBorders>
              <w:top w:val="single" w:color="auto" w:sz="4" w:space="0"/>
              <w:left w:val="single" w:color="auto" w:sz="4" w:space="0"/>
              <w:bottom w:val="single" w:color="auto" w:sz="4" w:space="0"/>
              <w:right w:val="single" w:color="auto" w:sz="4" w:space="0"/>
            </w:tcBorders>
            <w:vAlign w:val="center"/>
          </w:tcPr>
          <w:p w14:paraId="2ABB091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09721E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180C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12C0194">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B4F3036">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3DFA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8A3CBB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9915929">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8D65FD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606544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58FD143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66F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2EE526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23CF7D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lang w:val="en-US" w:eastAsia="zh-CN"/>
              </w:rPr>
              <w:t>兽医病理学、兽医药理学、动物传染病学、兽医法律法规等</w:t>
            </w:r>
          </w:p>
        </w:tc>
      </w:tr>
      <w:tr w14:paraId="4EE3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E950B6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B000103">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4838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EDCC4C8">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9A553CD">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执业兽医资格证考试（兽医全科类）必背考点</w:t>
            </w:r>
            <w:r>
              <w:rPr>
                <w:rFonts w:ascii="Arial" w:hAnsi="Arial" w:eastAsia="宋体" w:cs="Arial"/>
                <w:sz w:val="21"/>
                <w:szCs w:val="21"/>
              </w:rPr>
              <w:t>》（</w:t>
            </w:r>
            <w:r>
              <w:rPr>
                <w:rFonts w:hint="eastAsia" w:ascii="Arial" w:hAnsi="Arial" w:eastAsia="宋体" w:cs="Arial"/>
                <w:sz w:val="21"/>
                <w:szCs w:val="21"/>
                <w:lang w:val="en-US" w:eastAsia="zh-CN"/>
              </w:rPr>
              <w:t>姚奇</w:t>
            </w:r>
            <w:r>
              <w:rPr>
                <w:rFonts w:hint="eastAsia" w:ascii="Arial" w:hAnsi="Arial" w:eastAsia="宋体" w:cs="Arial"/>
                <w:sz w:val="21"/>
                <w:szCs w:val="21"/>
              </w:rPr>
              <w:t>，</w:t>
            </w:r>
            <w:r>
              <w:rPr>
                <w:rFonts w:hint="eastAsia" w:ascii="Arial" w:hAnsi="Arial" w:eastAsia="宋体" w:cs="Arial"/>
                <w:sz w:val="21"/>
                <w:szCs w:val="21"/>
                <w:lang w:val="en-US" w:eastAsia="zh-CN"/>
              </w:rPr>
              <w:t>中国轻工业出版社，2023-12，ISBN9787518445721</w:t>
            </w:r>
            <w:r>
              <w:rPr>
                <w:rFonts w:ascii="Arial" w:hAnsi="Arial" w:eastAsia="宋体" w:cs="Arial"/>
                <w:sz w:val="21"/>
                <w:szCs w:val="21"/>
              </w:rPr>
              <w:t>)</w:t>
            </w:r>
          </w:p>
        </w:tc>
      </w:tr>
      <w:tr w14:paraId="3E6E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80C714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9D7924C">
            <w:pPr>
              <w:widowControl/>
              <w:jc w:val="left"/>
              <w:rPr>
                <w:rFonts w:hint="eastAsia" w:eastAsiaTheme="minorEastAsia"/>
                <w:sz w:val="21"/>
                <w:szCs w:val="21"/>
                <w:lang w:val="en-US" w:eastAsia="zh-CN"/>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446505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06C71F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E33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5F2304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23D12C5">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267695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87D6C0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ABA886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909BEFB">
      <w:pPr>
        <w:pStyle w:val="3"/>
        <w:bidi w:val="0"/>
        <w:rPr>
          <w:rFonts w:hint="eastAsia"/>
          <w:lang w:val="en-US" w:eastAsia="zh-CN"/>
        </w:rPr>
      </w:pPr>
      <w:r>
        <w:rPr>
          <w:rFonts w:hint="eastAsia"/>
          <w:lang w:val="en-US" w:eastAsia="zh-CN"/>
        </w:rPr>
        <w:t>二、课程定位</w:t>
      </w:r>
    </w:p>
    <w:p w14:paraId="2B7B62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课程，是在兽医病理学、兽医药理学、动物传染病学、兽医法律法规基础上开设的一门理论+实践的课程，对接专业人才培养目标，面向</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临床兽医师的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养殖、防疫、诊疗</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5201B19E">
      <w:pPr>
        <w:pStyle w:val="3"/>
        <w:bidi w:val="0"/>
        <w:rPr>
          <w:rFonts w:hint="eastAsia"/>
          <w:lang w:val="en-US" w:eastAsia="zh-CN"/>
        </w:rPr>
      </w:pPr>
      <w:r>
        <w:rPr>
          <w:rFonts w:hint="eastAsia"/>
          <w:lang w:val="en-US" w:eastAsia="zh-CN"/>
        </w:rPr>
        <w:t>三、课程设计思路</w:t>
      </w:r>
    </w:p>
    <w:p w14:paraId="6D5D26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首先,根据人才培养方案及相关教材确定教学内容,</w:t>
      </w:r>
      <w:r>
        <w:rPr>
          <w:rFonts w:ascii="宋体" w:hAnsi="宋体" w:eastAsia="宋体" w:cs="宋体"/>
          <w:sz w:val="24"/>
          <w:szCs w:val="24"/>
        </w:rPr>
        <w:t>兽医资格证培训课程设计核心思路是</w:t>
      </w:r>
      <w:r>
        <w:rPr>
          <w:rFonts w:hint="eastAsia" w:asciiTheme="minorEastAsia" w:hAnsiTheme="minorEastAsia" w:eastAsiaTheme="minorEastAsia" w:cstheme="minorEastAsia"/>
          <w:sz w:val="24"/>
          <w:szCs w:val="24"/>
          <w:lang w:val="en-US" w:eastAsia="zh-CN"/>
        </w:rPr>
        <w:t>紧扣官方考纲、分层适配学员基础、理论实操结合、贴合考试命题规律，同时兼顾应试提分和执业基础能力培养，整体按 “考纲拆解 - 阶段进阶 - 学练考评闭环 - 个性化适配” 搭建课程体系。</w:t>
      </w:r>
    </w:p>
    <w:p w14:paraId="3E1807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本课程是高职畜牧兽医类专业面向执业兽医资格考试的核心培训课程，以《执业兽医资格考试大纲》为依据，聚焦考试重点、难点与实操要求，通过 “考点精讲 + 真题演练 + 模拟冲刺” 的教学模式，帮助学生系统梳理专业知识、强化应试技能，同时提升依法执业、诚信服务的职业素养，为顺利通过执业兽医资格考试及从事兽医相关岗位工作奠定基础。</w:t>
      </w:r>
    </w:p>
    <w:p w14:paraId="7C7FE43D">
      <w:pPr>
        <w:pStyle w:val="3"/>
        <w:bidi w:val="0"/>
        <w:rPr>
          <w:rFonts w:hint="eastAsia"/>
          <w:lang w:val="en-US" w:eastAsia="zh-CN"/>
        </w:rPr>
      </w:pPr>
      <w:r>
        <w:rPr>
          <w:rFonts w:hint="eastAsia"/>
          <w:lang w:val="en-US" w:eastAsia="zh-CN"/>
        </w:rPr>
        <w:t>四、课程目标</w:t>
      </w:r>
    </w:p>
    <w:p w14:paraId="68AB55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EFEBDC3">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1.掌握执业兽医资格考试各科目核心考点（含基础科目、临床科目、预防科目、综合应用科目）；</w:t>
      </w:r>
    </w:p>
    <w:p w14:paraId="5C289A76">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2.熟悉执业兽医资格考试题型结构、命题规律与答题技巧；</w:t>
      </w:r>
    </w:p>
    <w:p w14:paraId="1A6DB5C5">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3.明确兽医行业相关法律法规（《动物防疫法》《兽药管理条例》等）在考试中的应用要点；</w:t>
      </w:r>
    </w:p>
    <w:p w14:paraId="4769FEAF">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4.了解执业兽医注册、执业规范及行业最新政策要求。</w:t>
      </w:r>
    </w:p>
    <w:p w14:paraId="5A5C27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）能力目标</w:t>
      </w:r>
    </w:p>
    <w:p w14:paraId="401C386E">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1.应试通关：掌握考纲核心考点，熟练解答各类题型，具备达标应试能力。</w:t>
      </w:r>
    </w:p>
    <w:p w14:paraId="4C884F37">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2.基础实操：规范完成临床检查、疫苗接种、消毒驱虫、样本采集等基础操作。</w:t>
      </w:r>
    </w:p>
    <w:p w14:paraId="49EC8607">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3.常见病处置：识别基层常见疾病典型症状，能初步诊断、开具基础处方。</w:t>
      </w:r>
    </w:p>
    <w:p w14:paraId="727E6232">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4.基层应用：制定简单防疫 / 保健方案，规范填写执业文书，能与服务对象有效沟通。</w:t>
      </w:r>
    </w:p>
    <w:p w14:paraId="49EAA0AC">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5.应急基础：识别重大疫病，具备初步隔离、上报及应急处置能力</w:t>
      </w:r>
    </w:p>
    <w:p w14:paraId="541F90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lang w:eastAsia="zh-CN"/>
        </w:rPr>
        <w:t>目标</w:t>
      </w:r>
    </w:p>
    <w:p w14:paraId="4C795E68">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1.法治合规：熟悉核心兽医法规，依法执业、合规使用兽药与报告疫情。</w:t>
      </w:r>
    </w:p>
    <w:p w14:paraId="2037E229">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2.职业道德：尊重生命、诚信执业，不夸大病情、不违规操作，坚守职业责任。</w:t>
      </w:r>
    </w:p>
    <w:p w14:paraId="3420EDA7">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3.职业适配：严谨细致、吃苦耐劳，能适应基层工作环境，具备团队协作与持续学习意识。</w:t>
      </w:r>
    </w:p>
    <w:p w14:paraId="18903690">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4.公共责任：重视人畜共患病防控，承担基层公共卫生安全相关职责。</w:t>
      </w:r>
    </w:p>
    <w:p w14:paraId="764B4258">
      <w:pPr>
        <w:pStyle w:val="36"/>
        <w:numPr>
          <w:ilvl w:val="0"/>
          <w:numId w:val="0"/>
        </w:numPr>
        <w:ind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5.身心适配：具备应对突发情况的心理素质和适配岗位的身体素质</w:t>
      </w:r>
    </w:p>
    <w:p w14:paraId="28D096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FA19F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51E6AF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培养严谨细致、精益求精的工匠精神，提升兽医职业的责任感与使命感；​</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法治意识：强化 “以人为本、以畜为责” 的职业理念，树立诚信应试、依法执业的法治意识；​</w:t>
      </w:r>
    </w:p>
    <w:p w14:paraId="1F207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544866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7AD870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cstheme="minorEastAsia"/>
          <w:sz w:val="24"/>
          <w:szCs w:val="24"/>
          <w:lang w:val="en-US" w:eastAsia="zh-CN"/>
        </w:rPr>
        <w:t>终身学习</w:t>
      </w:r>
      <w:r>
        <w:rPr>
          <w:rFonts w:hint="eastAsia" w:asciiTheme="minorEastAsia" w:hAnsiTheme="minorEastAsia" w:eastAsiaTheme="minorEastAsia" w:cstheme="minorEastAsia"/>
          <w:sz w:val="24"/>
          <w:szCs w:val="24"/>
        </w:rPr>
        <w:t>：树立终身学习意识，适应兽医行业政策与技术的动态发展；​</w:t>
      </w:r>
    </w:p>
    <w:p w14:paraId="4E843780">
      <w:pPr>
        <w:pStyle w:val="3"/>
        <w:bidi w:val="0"/>
        <w:rPr>
          <w:rFonts w:hint="eastAsia"/>
          <w:lang w:val="en-US" w:eastAsia="zh-CN"/>
        </w:rPr>
      </w:pPr>
      <w:r>
        <w:rPr>
          <w:rFonts w:hint="eastAsia"/>
          <w:lang w:val="en-US" w:eastAsia="zh-CN"/>
        </w:rPr>
        <w:t>五、课程内容和要求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364"/>
        <w:gridCol w:w="2283"/>
        <w:gridCol w:w="1989"/>
        <w:gridCol w:w="1258"/>
        <w:gridCol w:w="706"/>
      </w:tblGrid>
      <w:tr w14:paraId="2895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34" w:type="pct"/>
            <w:vAlign w:val="center"/>
          </w:tcPr>
          <w:p w14:paraId="70CEEB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17B449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1199" w:type="pct"/>
            <w:vAlign w:val="center"/>
          </w:tcPr>
          <w:p w14:paraId="0475D3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158" w:type="pct"/>
            <w:vAlign w:val="center"/>
          </w:tcPr>
          <w:p w14:paraId="2B30AE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09" w:type="pct"/>
            <w:vAlign w:val="center"/>
          </w:tcPr>
          <w:p w14:paraId="18A924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38" w:type="pct"/>
            <w:vAlign w:val="center"/>
          </w:tcPr>
          <w:p w14:paraId="07FADA7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58" w:type="pct"/>
            <w:vAlign w:val="center"/>
          </w:tcPr>
          <w:p w14:paraId="702B64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87C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2A4499F1">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1：执业兽医资格考试解读与备考规划</w:t>
            </w:r>
          </w:p>
        </w:tc>
        <w:tc>
          <w:tcPr>
            <w:tcW w:w="1199" w:type="pct"/>
            <w:vAlign w:val="center"/>
          </w:tcPr>
          <w:p w14:paraId="721731C2">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考试政策（报名条件、考试时间、科目设置）； 题型结构（单选、多选、判断、案例分析）；. 命题规律与得分策略；. 个人备考计划制定</w:t>
            </w:r>
          </w:p>
        </w:tc>
        <w:tc>
          <w:tcPr>
            <w:tcW w:w="1158" w:type="pct"/>
            <w:vAlign w:val="center"/>
          </w:tcPr>
          <w:p w14:paraId="0D2A176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报考资格审核要求、考试科目权重分布 2. 各类题型分值占比、答题评分标准3. 高频考点分布、易得分模块识别分阶段备考时间分配方法</w:t>
            </w:r>
          </w:p>
        </w:tc>
        <w:tc>
          <w:tcPr>
            <w:tcW w:w="1009" w:type="pct"/>
            <w:vAlign w:val="center"/>
          </w:tcPr>
          <w:p w14:paraId="2A20D31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精准判断个人报考资格 2. 快速识别题型特点与答题要点 3. 掌握针对性得分技巧制定个性化备考计划并执行</w:t>
            </w:r>
          </w:p>
        </w:tc>
        <w:tc>
          <w:tcPr>
            <w:tcW w:w="638" w:type="pct"/>
            <w:vAlign w:val="center"/>
          </w:tcPr>
          <w:p w14:paraId="6B5171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sz w:val="21"/>
                <w:szCs w:val="21"/>
                <w:lang w:val="en-US" w:eastAsia="zh-CN"/>
              </w:rPr>
            </w:pPr>
            <w:r>
              <w:rPr>
                <w:rFonts w:ascii="宋体" w:eastAsia="宋体"/>
                <w:sz w:val="21"/>
                <w:szCs w:val="21"/>
              </w:rPr>
              <w:t>诚信应试、规划意识</w:t>
            </w:r>
          </w:p>
        </w:tc>
        <w:tc>
          <w:tcPr>
            <w:tcW w:w="358" w:type="pct"/>
            <w:vAlign w:val="center"/>
          </w:tcPr>
          <w:p w14:paraId="41C0C45F">
            <w:pPr>
              <w:pStyle w:val="36"/>
              <w:widowControl w:val="0"/>
              <w:snapToGrid w:val="0"/>
              <w:spacing w:line="240" w:lineRule="auto"/>
              <w:ind w:left="0" w:leftChars="0" w:right="0" w:rightChars="0" w:firstLine="0" w:firstLineChars="0"/>
              <w:jc w:val="center"/>
              <w:rPr>
                <w:rFonts w:hint="default" w:ascii="宋体" w:hAnsi="宋体" w:eastAsia="宋体" w:cs="宋体"/>
                <w:sz w:val="21"/>
                <w:szCs w:val="21"/>
                <w:lang w:val="en-US" w:eastAsia="zh-CN"/>
              </w:rPr>
            </w:pPr>
            <w:r>
              <w:rPr>
                <w:rFonts w:ascii="宋体" w:eastAsia="宋体"/>
                <w:sz w:val="21"/>
                <w:szCs w:val="21"/>
              </w:rPr>
              <w:t>4</w:t>
            </w:r>
          </w:p>
        </w:tc>
      </w:tr>
      <w:tr w14:paraId="10E5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3D5EFCD3">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2：基础科目考点精讲与真题演练</w:t>
            </w:r>
          </w:p>
        </w:tc>
        <w:tc>
          <w:tcPr>
            <w:tcW w:w="1199" w:type="pct"/>
            <w:vAlign w:val="center"/>
          </w:tcPr>
          <w:p w14:paraId="341BD032">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动物解剖学、组织学与胚胎学核心考点；2. 动物生理学、生物化学高频考点；. 兽医病理学、兽医药理学重点难点解析；4. 对应科目真题解析与模拟练习</w:t>
            </w:r>
          </w:p>
        </w:tc>
        <w:tc>
          <w:tcPr>
            <w:tcW w:w="1158" w:type="pct"/>
            <w:vAlign w:val="center"/>
          </w:tcPr>
          <w:p w14:paraId="772A67F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关键器官解剖结构、生理功能及病理变化  2. 核心生化反应、药物作用机制与临床应用 基础科目易混知识点对比（如药物分类、病理变化鉴别）4. 真题命题思路与错题归因</w:t>
            </w:r>
          </w:p>
        </w:tc>
        <w:tc>
          <w:tcPr>
            <w:tcW w:w="1009" w:type="pct"/>
            <w:vAlign w:val="center"/>
          </w:tcPr>
          <w:p w14:paraId="5F230DC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快速定位基础科目考点 熟练解答基础题型，正确率≥70%3. 运用思维导图梳理知识框架 4. 针对性补全基础漏洞</w:t>
            </w:r>
          </w:p>
        </w:tc>
        <w:tc>
          <w:tcPr>
            <w:tcW w:w="638" w:type="pct"/>
            <w:vAlign w:val="center"/>
          </w:tcPr>
          <w:p w14:paraId="1F86ED3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ascii="宋体" w:eastAsia="宋体"/>
                <w:sz w:val="21"/>
                <w:szCs w:val="21"/>
              </w:rPr>
              <w:t>严谨治学、知识夯实</w:t>
            </w:r>
          </w:p>
        </w:tc>
        <w:tc>
          <w:tcPr>
            <w:tcW w:w="358" w:type="pct"/>
            <w:vAlign w:val="center"/>
          </w:tcPr>
          <w:p w14:paraId="1C4AC479">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8</w:t>
            </w:r>
          </w:p>
        </w:tc>
      </w:tr>
      <w:tr w14:paraId="0CF3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15298744">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3：预防科目考点精讲与真题演练</w:t>
            </w:r>
          </w:p>
        </w:tc>
        <w:tc>
          <w:tcPr>
            <w:tcW w:w="1199" w:type="pct"/>
            <w:vAlign w:val="center"/>
          </w:tcPr>
          <w:p w14:paraId="75C442B0">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动物传染病学（常见疫病病原、症状、防控）；. 动物寄生虫病学（重要寄生虫生活史、诊断、防治）；3. 兽医公共卫生学核心考点；4. 对应科目真题解析与模拟练习</w:t>
            </w:r>
          </w:p>
        </w:tc>
        <w:tc>
          <w:tcPr>
            <w:tcW w:w="1158" w:type="pct"/>
            <w:vAlign w:val="center"/>
          </w:tcPr>
          <w:p w14:paraId="39E4895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重大疫病（非洲猪瘟、禽流感等）防控流程、疫苗选择重要寄生虫感染途径、诊断方法与驱虫药物搭配 3. 人畜共患病防控、动物产品安全相关要求 预防科目案例题解题逻辑</w:t>
            </w:r>
          </w:p>
        </w:tc>
        <w:tc>
          <w:tcPr>
            <w:tcW w:w="1009" w:type="pct"/>
            <w:vAlign w:val="center"/>
          </w:tcPr>
          <w:p w14:paraId="685800F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 xml:space="preserve">1. 准确识别传染病 </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 xml:space="preserve"> 寄生虫病典型症状</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制定基础疫病防控方案3. 熟练解答案例分析题  4. 掌握预防科目高分技巧</w:t>
            </w:r>
          </w:p>
        </w:tc>
        <w:tc>
          <w:tcPr>
            <w:tcW w:w="638" w:type="pct"/>
            <w:vAlign w:val="center"/>
          </w:tcPr>
          <w:p w14:paraId="5C5841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ascii="宋体" w:eastAsia="宋体"/>
                <w:sz w:val="21"/>
                <w:szCs w:val="21"/>
              </w:rPr>
              <w:t>责任担当、防疫意识</w:t>
            </w:r>
          </w:p>
        </w:tc>
        <w:tc>
          <w:tcPr>
            <w:tcW w:w="358" w:type="pct"/>
            <w:vAlign w:val="center"/>
          </w:tcPr>
          <w:p w14:paraId="5277E838">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8</w:t>
            </w:r>
          </w:p>
        </w:tc>
      </w:tr>
      <w:tr w14:paraId="7C98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79AFACFD">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4：临床科目考点精讲与真题演练</w:t>
            </w:r>
          </w:p>
        </w:tc>
        <w:tc>
          <w:tcPr>
            <w:tcW w:w="1199" w:type="pct"/>
            <w:vAlign w:val="center"/>
          </w:tcPr>
          <w:p w14:paraId="47386DF4">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兽医内科学、外科学、产科学重点考点； 小动物疾病学、禽病学、猪病学高频考点；3. 临床诊断方法与治疗原则；&gt;4. 对应科目真题解析与模拟练习</w:t>
            </w:r>
          </w:p>
        </w:tc>
        <w:tc>
          <w:tcPr>
            <w:tcW w:w="1158" w:type="pct"/>
            <w:vAlign w:val="center"/>
          </w:tcPr>
          <w:p w14:paraId="5570A50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基层常见病（犬猫内科病、猪禽普通病）症状鉴别、治疗方案临床诊疗操作规范（如手术基础、助产流程）3. 处方书写要求、药物合理配伍临床科目跨知识点融合应用</w:t>
            </w:r>
          </w:p>
        </w:tc>
        <w:tc>
          <w:tcPr>
            <w:tcW w:w="1009" w:type="pct"/>
            <w:vAlign w:val="center"/>
          </w:tcPr>
          <w:p w14:paraId="5CC737A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初步诊断基层常见疾病 2. 规范书写基础诊疗处方 解答案例题时精准提取题眼 4. 提升临床题型答题速度与准确率</w:t>
            </w:r>
          </w:p>
        </w:tc>
        <w:tc>
          <w:tcPr>
            <w:tcW w:w="638" w:type="pct"/>
            <w:vAlign w:val="center"/>
          </w:tcPr>
          <w:p w14:paraId="7614E4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ascii="宋体" w:eastAsia="宋体"/>
                <w:sz w:val="21"/>
                <w:szCs w:val="21"/>
              </w:rPr>
              <w:t>专业素养、诊疗规范</w:t>
            </w:r>
          </w:p>
        </w:tc>
        <w:tc>
          <w:tcPr>
            <w:tcW w:w="358" w:type="pct"/>
            <w:vAlign w:val="center"/>
          </w:tcPr>
          <w:p w14:paraId="7B7E5717">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10</w:t>
            </w:r>
          </w:p>
        </w:tc>
      </w:tr>
      <w:tr w14:paraId="1ED4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29555DDC">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5：综合应用与法律法规模块</w:t>
            </w:r>
          </w:p>
        </w:tc>
        <w:tc>
          <w:tcPr>
            <w:tcW w:w="1199" w:type="pct"/>
            <w:vAlign w:val="center"/>
          </w:tcPr>
          <w:p w14:paraId="4F028AC0">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典型临床案例综合分析（跨科目知识融合）；&gt;2. 兽医法律法规（《动物防疫法》《兽药管理条例》等考试重点）；&gt;3. 执业兽医执业规范与职业道德；4. 案例分析题答题技巧训练</w:t>
            </w:r>
          </w:p>
        </w:tc>
        <w:tc>
          <w:tcPr>
            <w:tcW w:w="1158" w:type="pct"/>
            <w:vAlign w:val="center"/>
          </w:tcPr>
          <w:p w14:paraId="73D837B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跨科目案例解题思路（如传染病 + 临床治疗 + 法规应用）2. 法律法规核心条款（疫情报告、兽药使用、诊疗责任）3. 执业禁止行为、职业道德底线要求综合案例答题框架与采分点</w:t>
            </w:r>
          </w:p>
        </w:tc>
        <w:tc>
          <w:tcPr>
            <w:tcW w:w="1009" w:type="pct"/>
            <w:vAlign w:val="center"/>
          </w:tcPr>
          <w:p w14:paraId="791D46F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运用跨科目知识解答案例题。准确判断执业行为合法性规范书写案例分析题答案4. 规避常见答题失分点</w:t>
            </w:r>
          </w:p>
        </w:tc>
        <w:tc>
          <w:tcPr>
            <w:tcW w:w="638" w:type="pct"/>
            <w:vAlign w:val="center"/>
          </w:tcPr>
          <w:p w14:paraId="49CD71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ascii="宋体" w:eastAsia="宋体"/>
                <w:sz w:val="21"/>
                <w:szCs w:val="21"/>
              </w:rPr>
              <w:t>法治观念、职业操守</w:t>
            </w:r>
          </w:p>
        </w:tc>
        <w:tc>
          <w:tcPr>
            <w:tcW w:w="358" w:type="pct"/>
            <w:vAlign w:val="center"/>
          </w:tcPr>
          <w:p w14:paraId="6E55B109">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6</w:t>
            </w:r>
          </w:p>
        </w:tc>
      </w:tr>
      <w:tr w14:paraId="6F40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vAlign w:val="center"/>
          </w:tcPr>
          <w:p w14:paraId="6B71FBA5">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模块 6：模拟冲刺与应试强化</w:t>
            </w:r>
          </w:p>
        </w:tc>
        <w:tc>
          <w:tcPr>
            <w:tcW w:w="1199" w:type="pct"/>
            <w:vAlign w:val="center"/>
          </w:tcPr>
          <w:p w14:paraId="10180E9C">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1. 全套模拟试卷实战演练（2 套）； 试卷精讲与错题分析； 应试心态调整与答题时间分配指导；&gt;4. 高频易错知识点复盘</w:t>
            </w:r>
          </w:p>
        </w:tc>
        <w:tc>
          <w:tcPr>
            <w:tcW w:w="1158" w:type="pct"/>
            <w:vAlign w:val="center"/>
          </w:tcPr>
          <w:p w14:paraId="511BB22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考试时间分配标准（各科目答题时长）2. 高频易错考点清单（如药物禁忌、疫病防控流程） 错题归因与知识漏洞补全方法。应试紧张情绪调节技巧</w:t>
            </w:r>
          </w:p>
        </w:tc>
        <w:tc>
          <w:tcPr>
            <w:tcW w:w="1009" w:type="pct"/>
            <w:vAlign w:val="center"/>
          </w:tcPr>
          <w:p w14:paraId="652CCDC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在规定时间内完成全套试卷2. 精准分析错题原因并整改 3. 掌握答题时间分配策略。强化高频考点记忆</w:t>
            </w:r>
          </w:p>
        </w:tc>
        <w:tc>
          <w:tcPr>
            <w:tcW w:w="638" w:type="pct"/>
            <w:vAlign w:val="center"/>
          </w:tcPr>
          <w:p w14:paraId="6E3743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ascii="宋体" w:eastAsia="宋体"/>
                <w:sz w:val="21"/>
                <w:szCs w:val="21"/>
              </w:rPr>
              <w:t>抗压能力、精益求精</w:t>
            </w:r>
          </w:p>
        </w:tc>
        <w:tc>
          <w:tcPr>
            <w:tcW w:w="358" w:type="pct"/>
            <w:vAlign w:val="center"/>
          </w:tcPr>
          <w:p w14:paraId="52122792">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ascii="宋体" w:eastAsia="宋体"/>
                <w:sz w:val="21"/>
                <w:szCs w:val="21"/>
              </w:rPr>
              <w:t>6</w:t>
            </w:r>
          </w:p>
        </w:tc>
      </w:tr>
    </w:tbl>
    <w:p w14:paraId="1ADAEA92">
      <w:pPr>
        <w:pStyle w:val="3"/>
        <w:bidi w:val="0"/>
        <w:rPr>
          <w:rFonts w:hint="eastAsia"/>
          <w:lang w:val="en-US" w:eastAsia="zh-CN"/>
        </w:rPr>
      </w:pPr>
      <w:r>
        <w:rPr>
          <w:rFonts w:hint="eastAsia"/>
          <w:lang w:val="en-US" w:eastAsia="zh-CN"/>
        </w:rPr>
        <w:t>六、课程考核与评价</w:t>
      </w:r>
    </w:p>
    <w:p w14:paraId="45667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23F8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4B916D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98FDA7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1F500D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746CC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F05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94CB2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E17C9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BA4839B">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2C6CD79">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58CCB98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4940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5D620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87031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40C6CD2">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B08BE50">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3B165B4B">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96E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AAD42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12455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BC4E054">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以技能操作和模拟考试的方式进行</w:t>
            </w:r>
          </w:p>
        </w:tc>
        <w:tc>
          <w:tcPr>
            <w:tcW w:w="1311" w:type="dxa"/>
            <w:tcBorders>
              <w:left w:val="single" w:color="auto" w:sz="4" w:space="0"/>
              <w:right w:val="single" w:color="auto" w:sz="4" w:space="0"/>
            </w:tcBorders>
            <w:vAlign w:val="center"/>
          </w:tcPr>
          <w:p w14:paraId="71ECDD18">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908EF9C">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以模拟考试的能力进行考核</w:t>
            </w:r>
          </w:p>
        </w:tc>
      </w:tr>
      <w:tr w14:paraId="2D6D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17555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265F923">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C222600">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E666393">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B07A754">
      <w:pPr>
        <w:pStyle w:val="3"/>
        <w:bidi w:val="0"/>
        <w:rPr>
          <w:rFonts w:hint="eastAsia"/>
          <w:lang w:val="en-US" w:eastAsia="zh-CN"/>
        </w:rPr>
      </w:pPr>
      <w:r>
        <w:rPr>
          <w:rFonts w:hint="eastAsia"/>
          <w:lang w:val="en-US" w:eastAsia="zh-CN"/>
        </w:rPr>
        <w:t>七、课程实施与保障</w:t>
      </w:r>
    </w:p>
    <w:p w14:paraId="6AB0BB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492D4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82A23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B91A2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依法执业”、“终身学习”的课程思政价值链，结合中国科学家以及执业兽医师的经历，将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F4706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A9F9E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1762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专职教师在13人左右，其中专职教师11人。应具备双师素质资格，具有一定的实践经验，教学效果良好，职称和年龄结构合理2.教学硬件环境基本要求</w:t>
      </w:r>
    </w:p>
    <w:p w14:paraId="166B64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实施课程教学，校内应具备以下实训条件：多媒体专业教室、教学做一体化实训室和电脑。</w:t>
      </w:r>
    </w:p>
    <w:p w14:paraId="46CCBF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63A2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323480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（2）数字教学资源：历年执业兽医资格考试真题集、模拟试卷、高频考点题库，模拟考试机房。</w:t>
      </w:r>
    </w:p>
    <w:p w14:paraId="059D17D6">
      <w:pPr>
        <w:rPr>
          <w:rFonts w:hint="eastAsia" w:ascii="宋体" w:hAnsi="宋体" w:eastAsia="宋体" w:cs="宋体"/>
          <w:sz w:val="24"/>
          <w:szCs w:val="24"/>
          <w:lang w:val="en-US" w:eastAsia="zh-CN"/>
        </w:rPr>
      </w:pPr>
    </w:p>
    <w:p w14:paraId="5012F81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19D882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35F3DC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B0E58B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EFCBAF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98E34A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E472FB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F20FE5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25CB1A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073BC7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25EE52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783A48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1883CA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241922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0FF741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0A8E4A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2F877A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1370CF5">
      <w:pPr>
        <w:rPr>
          <w:rFonts w:hint="eastAsia"/>
          <w:lang w:val="en-US" w:eastAsia="zh-CN"/>
        </w:rPr>
      </w:pPr>
      <w:bookmarkStart w:id="48" w:name="_Toc22658"/>
      <w:r>
        <w:rPr>
          <w:rFonts w:hint="eastAsia"/>
          <w:lang w:val="en-US" w:eastAsia="zh-CN"/>
        </w:rPr>
        <w:br w:type="page"/>
      </w:r>
    </w:p>
    <w:p w14:paraId="42229DD7">
      <w:pPr>
        <w:pStyle w:val="2"/>
        <w:bidi w:val="0"/>
        <w:jc w:val="center"/>
        <w:rPr>
          <w:rFonts w:hint="eastAsia"/>
          <w:lang w:val="en-US" w:eastAsia="zh-CN"/>
        </w:rPr>
      </w:pPr>
      <w:bookmarkStart w:id="49" w:name="_Toc22126"/>
      <w:r>
        <w:rPr>
          <w:rFonts w:hint="eastAsia"/>
          <w:lang w:val="en-US" w:eastAsia="zh-CN"/>
        </w:rPr>
        <w:t>《畜产品市场营销》课程标准</w:t>
      </w:r>
      <w:bookmarkEnd w:id="48"/>
      <w:bookmarkEnd w:id="49"/>
    </w:p>
    <w:p w14:paraId="3A7B9A47">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1BB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74CAF9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B09BF0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畜产品市场营销</w:t>
            </w:r>
          </w:p>
        </w:tc>
        <w:tc>
          <w:tcPr>
            <w:tcW w:w="534" w:type="pct"/>
            <w:tcBorders>
              <w:top w:val="single" w:color="auto" w:sz="4" w:space="0"/>
              <w:left w:val="single" w:color="auto" w:sz="4" w:space="0"/>
              <w:bottom w:val="single" w:color="auto" w:sz="4" w:space="0"/>
              <w:right w:val="single" w:color="auto" w:sz="4" w:space="0"/>
            </w:tcBorders>
            <w:vAlign w:val="center"/>
          </w:tcPr>
          <w:p w14:paraId="7988680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48DA0BD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xcxm24021</w:t>
            </w:r>
          </w:p>
        </w:tc>
      </w:tr>
      <w:tr w14:paraId="719F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5AE3BF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4F315FA">
            <w:pPr>
              <w:jc w:val="center"/>
              <w:rPr>
                <w:rFonts w:hint="default" w:eastAsiaTheme="minorEastAsia"/>
                <w:sz w:val="21"/>
                <w:szCs w:val="21"/>
                <w:lang w:val="en-US" w:eastAsia="zh-CN"/>
              </w:rPr>
            </w:pPr>
            <w:r>
              <w:rPr>
                <w:rFonts w:hint="eastAsia"/>
                <w:sz w:val="21"/>
                <w:szCs w:val="21"/>
                <w:lang w:val="en-US" w:eastAsia="zh-CN"/>
              </w:rPr>
              <w:t>32学时</w:t>
            </w:r>
          </w:p>
        </w:tc>
        <w:tc>
          <w:tcPr>
            <w:tcW w:w="875" w:type="pct"/>
            <w:tcBorders>
              <w:top w:val="single" w:color="auto" w:sz="4" w:space="0"/>
              <w:left w:val="single" w:color="auto" w:sz="4" w:space="0"/>
              <w:bottom w:val="single" w:color="auto" w:sz="4" w:space="0"/>
              <w:right w:val="single" w:color="auto" w:sz="4" w:space="0"/>
            </w:tcBorders>
          </w:tcPr>
          <w:p w14:paraId="39CD9186">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69A54833">
            <w:pPr>
              <w:jc w:val="center"/>
              <w:rPr>
                <w:rFonts w:hint="eastAsia"/>
                <w:sz w:val="21"/>
                <w:szCs w:val="21"/>
                <w:lang w:val="en-US" w:eastAsia="zh-CN"/>
              </w:rPr>
            </w:pPr>
            <w:r>
              <w:rPr>
                <w:rFonts w:hint="eastAsia"/>
                <w:sz w:val="21"/>
                <w:szCs w:val="21"/>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10EDCA8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9CA40F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4D7C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721BB6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FA8DC1F">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71D1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B329C7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5039B478">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56C58B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029DB27">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9BA19B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14A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A7DD8F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5F36E8B1">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畜牧场经营与管理，牛羊生产，养禽与禽病防治，养猪与猪病防治</w:t>
            </w:r>
          </w:p>
        </w:tc>
      </w:tr>
      <w:tr w14:paraId="555F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FD9D27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8B07621">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兽医法规，岗位实习</w:t>
            </w:r>
          </w:p>
        </w:tc>
      </w:tr>
      <w:tr w14:paraId="683E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4387D15">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4A583707">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畜牧场经营与管理</w:t>
            </w:r>
            <w:r>
              <w:rPr>
                <w:rFonts w:ascii="Arial" w:hAnsi="Arial" w:eastAsia="宋体" w:cs="Arial"/>
                <w:sz w:val="21"/>
                <w:szCs w:val="21"/>
              </w:rPr>
              <w:t>》（</w:t>
            </w:r>
            <w:r>
              <w:rPr>
                <w:rFonts w:hint="eastAsia" w:ascii="Arial" w:hAnsi="Arial" w:eastAsia="宋体" w:cs="Arial"/>
                <w:sz w:val="21"/>
                <w:szCs w:val="21"/>
                <w:lang w:val="en-US" w:eastAsia="zh-CN"/>
              </w:rPr>
              <w:t>孙凡花</w:t>
            </w:r>
            <w:r>
              <w:rPr>
                <w:rFonts w:hint="eastAsia" w:ascii="Arial" w:hAnsi="Arial" w:eastAsia="宋体" w:cs="Arial"/>
                <w:sz w:val="21"/>
                <w:szCs w:val="21"/>
              </w:rPr>
              <w:t>，</w:t>
            </w:r>
            <w:r>
              <w:rPr>
                <w:rFonts w:hint="eastAsia" w:ascii="Arial" w:hAnsi="Arial" w:eastAsia="宋体" w:cs="Arial"/>
                <w:sz w:val="21"/>
                <w:szCs w:val="21"/>
                <w:lang w:val="en-US" w:eastAsia="zh-CN"/>
              </w:rPr>
              <w:t>中国农业大学出版社，2021，ISBN9787565525018号</w:t>
            </w:r>
            <w:r>
              <w:rPr>
                <w:rFonts w:ascii="Arial" w:hAnsi="Arial" w:eastAsia="宋体" w:cs="Arial"/>
                <w:sz w:val="21"/>
                <w:szCs w:val="21"/>
              </w:rPr>
              <w:t>)</w:t>
            </w:r>
          </w:p>
        </w:tc>
      </w:tr>
      <w:tr w14:paraId="7D28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C85CE2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C730E38">
            <w:pPr>
              <w:widowControl/>
              <w:jc w:val="left"/>
              <w:rPr>
                <w:rFonts w:hint="default" w:eastAsiaTheme="minorEastAsia"/>
                <w:sz w:val="21"/>
                <w:szCs w:val="21"/>
                <w:lang w:val="en-US" w:eastAsia="zh-CN"/>
              </w:rPr>
            </w:pPr>
            <w:r>
              <w:rPr>
                <w:rFonts w:hint="eastAsia"/>
                <w:sz w:val="21"/>
                <w:szCs w:val="21"/>
                <w:lang w:val="en-US" w:eastAsia="zh-CN"/>
              </w:rPr>
              <w:t>穆明扬</w:t>
            </w:r>
          </w:p>
        </w:tc>
        <w:tc>
          <w:tcPr>
            <w:tcW w:w="534" w:type="pct"/>
            <w:tcBorders>
              <w:top w:val="single" w:color="auto" w:sz="4" w:space="0"/>
              <w:left w:val="single" w:color="auto" w:sz="4" w:space="0"/>
              <w:bottom w:val="single" w:color="auto" w:sz="4" w:space="0"/>
              <w:right w:val="single" w:color="auto" w:sz="4" w:space="0"/>
            </w:tcBorders>
            <w:vAlign w:val="center"/>
          </w:tcPr>
          <w:p w14:paraId="7A4ABBF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8C1F70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1DA7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32884B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6C8AE48">
            <w:pPr>
              <w:widowControl/>
              <w:jc w:val="left"/>
              <w:rPr>
                <w:rFonts w:hint="eastAsia"/>
                <w:sz w:val="21"/>
                <w:szCs w:val="21"/>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339FAD9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87E783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8月</w:t>
            </w:r>
          </w:p>
        </w:tc>
      </w:tr>
    </w:tbl>
    <w:p w14:paraId="55241B1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959798B">
      <w:pPr>
        <w:pStyle w:val="3"/>
        <w:bidi w:val="0"/>
        <w:rPr>
          <w:rFonts w:hint="eastAsia"/>
          <w:lang w:val="en-US" w:eastAsia="zh-CN"/>
        </w:rPr>
      </w:pPr>
      <w:r>
        <w:rPr>
          <w:rFonts w:hint="eastAsia"/>
          <w:lang w:val="en-US" w:eastAsia="zh-CN"/>
        </w:rPr>
        <w:t>二、课程定位</w:t>
      </w:r>
    </w:p>
    <w:p w14:paraId="1E924D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必修的一门专业选修课程，是在畜牧场经营与管理，牛羊生产，养禽与禽病防治，养猪与猪病防治基础上开设的一门理论+实践的课程，对接专业人才培养目标，面向畜牧生产一线与市场终端工作岗位，培养学生具备畜产品销售、渠道管理、品牌推广、市场调研 职业素质，具备畜产品（肉、蛋、奶、畜禽副产品等）市场营销能力，为后续岗位实习课程学习奠定基础的课程。同时，将课程思政内容融入课程核心内容体系，帮助学生树立正确的世界观、人生观、价值观。</w:t>
      </w:r>
    </w:p>
    <w:p w14:paraId="4336BC84">
      <w:pPr>
        <w:pStyle w:val="3"/>
        <w:bidi w:val="0"/>
        <w:rPr>
          <w:rFonts w:hint="eastAsia"/>
          <w:lang w:val="en-US" w:eastAsia="zh-CN"/>
        </w:rPr>
      </w:pPr>
      <w:r>
        <w:rPr>
          <w:rFonts w:hint="eastAsia"/>
          <w:lang w:val="en-US" w:eastAsia="zh-CN"/>
        </w:rPr>
        <w:t>三、课程设计思路</w:t>
      </w:r>
    </w:p>
    <w:p w14:paraId="7F48CA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以岗位需求为核心：调研畜产品生产企业、冷链物流企业、商超生鲜部、电商平台等相关岗位（如销售代表、市场专员、渠道维护员、直播运营助理等）的能力要求，提炼核心工作任务，转化为课程教学模块。</w:t>
      </w:r>
    </w:p>
    <w:p w14:paraId="21B830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以能力培养为主线：打破传统 “理论 + 案例” 的单一模式，构建 “理论讲解 — 案例分析 — 模拟实操 — 岗位实训” 的教学链条，32 学时中分配 8 学时用于实践教学，强化学生动手能力和问题解决能力。</w:t>
      </w:r>
    </w:p>
    <w:p w14:paraId="4D91C2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以行业特性为重点：针对畜产品质量安全追溯、冷链物流配合、政策法规约束（如《食品安全法》《畜牧法》）等行业特点，设计专项教学内容，避免与通用市场营销课程同质化。</w:t>
      </w:r>
    </w:p>
    <w:p w14:paraId="33268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以思政融入为引领：将诚信经营、绿色发展、乡村振兴、社会责任等思政元素贯穿教学全过程，实现知识传授、技能培养与价值引领的有机统一。</w:t>
      </w:r>
    </w:p>
    <w:p w14:paraId="188BFA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pPr>
      <w:r>
        <w:rPr>
          <w:rFonts w:hint="eastAsia" w:asciiTheme="minorEastAsia" w:hAnsiTheme="minorEastAsia" w:eastAsiaTheme="minorEastAsia" w:cstheme="minorEastAsia"/>
          <w:sz w:val="24"/>
          <w:szCs w:val="24"/>
          <w:lang w:val="en-US" w:eastAsia="zh-CN"/>
        </w:rPr>
        <w:t>以灵活教学为支撑：结合线上资源（行业报告、直播案例、政策解读）与线下互动（小组讨论、情景模拟、企业走访），适配 32 学时的紧凑教学节奏，提升教学效率。</w:t>
      </w:r>
    </w:p>
    <w:p w14:paraId="01A4484B">
      <w:pPr>
        <w:pStyle w:val="3"/>
        <w:bidi w:val="0"/>
        <w:rPr>
          <w:rFonts w:hint="eastAsia"/>
          <w:lang w:val="en-US" w:eastAsia="zh-CN"/>
        </w:rPr>
      </w:pPr>
      <w:r>
        <w:rPr>
          <w:rFonts w:hint="eastAsia"/>
          <w:lang w:val="en-US" w:eastAsia="zh-CN"/>
        </w:rPr>
        <w:t>四、课程目标</w:t>
      </w:r>
    </w:p>
    <w:p w14:paraId="7FFD12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4F10ED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掌握市场营销基本原理及畜产品营销特殊性，熟悉行业政策法规。</w:t>
      </w:r>
      <w:r>
        <w:rPr>
          <w:rFonts w:hint="default" w:asciiTheme="minorEastAsia" w:hAnsiTheme="minorEastAsia" w:eastAsiaTheme="minorEastAsia" w:cstheme="minorEastAsia"/>
          <w:sz w:val="24"/>
          <w:szCs w:val="24"/>
        </w:rPr>
        <w:t>​</w:t>
      </w:r>
    </w:p>
    <w:p w14:paraId="05B4B1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rPr>
        <w:t>了解畜产品市场现状、趋势及目标市场需求、竞争格局。​</w:t>
      </w:r>
    </w:p>
    <w:p w14:paraId="5D1115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rPr>
        <w:t>掌握畜产品 4P 策略、市场调研、品牌建设及数字化营销的核心要点。​</w:t>
      </w:r>
    </w:p>
    <w:p w14:paraId="7934DB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rPr>
        <w:t>熟悉畜产品渠道类型、冷链物流及客户关系管理基础方法。</w:t>
      </w:r>
    </w:p>
    <w:p w14:paraId="30AC60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497D5C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rPr>
        <w:t>能完成简单的畜产品市场调研与数据分析，形成基础结论。​</w:t>
      </w:r>
    </w:p>
    <w:p w14:paraId="389124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rPr>
        <w:t>能运用 STP 理论定位市场，制定初步营销组合策略。​</w:t>
      </w:r>
    </w:p>
    <w:p w14:paraId="21936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rPr>
        <w:t>能设计简单促销方案，开展产品推介、客户对接等工作。​</w:t>
      </w:r>
    </w:p>
    <w:p w14:paraId="682D07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rPr>
        <w:t>能识别营销常见问题，提出初步解决方案，运用数字化工具辅助营销。</w:t>
      </w:r>
    </w:p>
    <w:p w14:paraId="5E0825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54BC0C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具备爱岗敬业、诚实守信的职业素养，坚守质量安全底线。</w:t>
      </w:r>
      <w:r>
        <w:rPr>
          <w:rFonts w:hint="default" w:asciiTheme="minorEastAsia" w:hAnsiTheme="minorEastAsia" w:eastAsiaTheme="minorEastAsia" w:cstheme="minorEastAsia"/>
          <w:sz w:val="24"/>
          <w:szCs w:val="24"/>
          <w:lang w:val="en-US" w:eastAsia="zh-CN"/>
        </w:rPr>
        <w:t>​</w:t>
      </w:r>
    </w:p>
    <w:p w14:paraId="01976F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拥有市场洞察力、创新思维与抗压能力，适应行业变化。​</w:t>
      </w:r>
    </w:p>
    <w:p w14:paraId="12F75A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养成严谨务实的工作态度，具备良好的团队协作与沟通能力。​</w:t>
      </w:r>
    </w:p>
    <w:p w14:paraId="65173B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树立绿色发展与社会责任意识，助力农业可持续发展。</w:t>
      </w:r>
    </w:p>
    <w:p w14:paraId="116180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159F36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1.坚守诚信合规底线，抵制不道德营销行为，维护消费者权益。</w:t>
      </w:r>
      <w:r>
        <w:rPr>
          <w:rFonts w:hint="default" w:asciiTheme="minorEastAsia" w:hAnsiTheme="minorEastAsia" w:eastAsiaTheme="minorEastAsia" w:cstheme="minorEastAsia"/>
          <w:sz w:val="24"/>
          <w:szCs w:val="24"/>
          <w:lang w:val="en-US" w:eastAsia="zh-CN"/>
        </w:rPr>
        <w:t>​</w:t>
      </w:r>
    </w:p>
    <w:p w14:paraId="278B2A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厚植乡村振兴情怀，激发服务现代农业的责任感。​</w:t>
      </w:r>
    </w:p>
    <w:p w14:paraId="4A89C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强化法治观念与绿色发展理念，践行合规、环保的营销模式。​</w:t>
      </w:r>
    </w:p>
    <w:p w14:paraId="21EB2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培养团队协作与创新奋斗精神，勇于探索营销新模式。</w:t>
      </w:r>
    </w:p>
    <w:p w14:paraId="08D4F628">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405"/>
        <w:gridCol w:w="2763"/>
        <w:gridCol w:w="1963"/>
        <w:gridCol w:w="1315"/>
        <w:gridCol w:w="713"/>
      </w:tblGrid>
      <w:tr w14:paraId="58E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857" w:type="pct"/>
            <w:vAlign w:val="center"/>
          </w:tcPr>
          <w:p w14:paraId="01D5F14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31331D0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713" w:type="pct"/>
            <w:vAlign w:val="center"/>
          </w:tcPr>
          <w:p w14:paraId="3078C74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594D08F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402" w:type="pct"/>
            <w:vAlign w:val="center"/>
          </w:tcPr>
          <w:p w14:paraId="3667404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996" w:type="pct"/>
            <w:vAlign w:val="center"/>
          </w:tcPr>
          <w:p w14:paraId="7CC196E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67" w:type="pct"/>
            <w:vAlign w:val="center"/>
          </w:tcPr>
          <w:p w14:paraId="0149233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62" w:type="pct"/>
            <w:vAlign w:val="center"/>
          </w:tcPr>
          <w:p w14:paraId="2BFEB09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78B0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7C5FA9A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一、畜产品营销认知与市场分析（6 学时）</w:t>
            </w:r>
          </w:p>
        </w:tc>
        <w:tc>
          <w:tcPr>
            <w:tcW w:w="713" w:type="pct"/>
            <w:vAlign w:val="center"/>
          </w:tcPr>
          <w:p w14:paraId="6C9A657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1.1 畜产品市场营销认知</w:t>
            </w:r>
          </w:p>
        </w:tc>
        <w:tc>
          <w:tcPr>
            <w:tcW w:w="1402" w:type="pct"/>
            <w:vAlign w:val="center"/>
          </w:tcPr>
          <w:p w14:paraId="75308EC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营销核心原理（4P、STP）；2. 畜产品营销特殊性（易腐、安全要求）；3. 行业政策法规（《食品安全法》）</w:t>
            </w:r>
          </w:p>
        </w:tc>
        <w:tc>
          <w:tcPr>
            <w:tcW w:w="996" w:type="pct"/>
            <w:vAlign w:val="center"/>
          </w:tcPr>
          <w:p w14:paraId="3885244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区分畜产品与通用产品营销差异；2. 解读基础行业政策</w:t>
            </w:r>
          </w:p>
        </w:tc>
        <w:tc>
          <w:tcPr>
            <w:tcW w:w="667" w:type="pct"/>
            <w:vAlign w:val="center"/>
          </w:tcPr>
          <w:p w14:paraId="4B00E2E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Theme="minorEastAsia" w:hAnsiTheme="minorEastAsia" w:eastAsiaTheme="minorEastAsia" w:cstheme="minorEastAsia"/>
                <w:sz w:val="21"/>
                <w:szCs w:val="21"/>
                <w:lang w:val="en-US" w:eastAsia="zh-CN"/>
              </w:rPr>
            </w:pPr>
            <w:r>
              <w:rPr>
                <w:rFonts w:ascii="宋体" w:hAnsi="宋体" w:eastAsia="宋体" w:cs="宋体"/>
                <w:kern w:val="0"/>
                <w:sz w:val="21"/>
                <w:szCs w:val="21"/>
                <w:lang w:val="en-US" w:eastAsia="zh-CN" w:bidi="ar"/>
              </w:rPr>
              <w:t>法治观念、行业责任感</w:t>
            </w:r>
          </w:p>
        </w:tc>
        <w:tc>
          <w:tcPr>
            <w:tcW w:w="362" w:type="pct"/>
            <w:vAlign w:val="center"/>
          </w:tcPr>
          <w:p w14:paraId="3CA3AA6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A51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507839D5">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713" w:type="pct"/>
            <w:vAlign w:val="center"/>
          </w:tcPr>
          <w:p w14:paraId="73C77075">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1.2 畜产品市场调研与需求分析</w:t>
            </w:r>
          </w:p>
        </w:tc>
        <w:tc>
          <w:tcPr>
            <w:tcW w:w="1402" w:type="pct"/>
            <w:vAlign w:val="center"/>
          </w:tcPr>
          <w:p w14:paraId="7D4FA0E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市场调研方法（问卷设计、数据收集）；2. 目标市场细分与定位；3. 消费行为与竞争格局分析</w:t>
            </w:r>
          </w:p>
        </w:tc>
        <w:tc>
          <w:tcPr>
            <w:tcW w:w="996" w:type="pct"/>
            <w:vAlign w:val="center"/>
          </w:tcPr>
          <w:p w14:paraId="227D86E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设计简单调研问卷；2. 基础数据收集与分析；3. 识别目标市场特征</w:t>
            </w:r>
          </w:p>
        </w:tc>
        <w:tc>
          <w:tcPr>
            <w:tcW w:w="667" w:type="pct"/>
            <w:vAlign w:val="center"/>
          </w:tcPr>
          <w:p w14:paraId="1DF99A0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严谨务实态度、数据诚信</w:t>
            </w:r>
          </w:p>
        </w:tc>
        <w:tc>
          <w:tcPr>
            <w:tcW w:w="362" w:type="pct"/>
            <w:vAlign w:val="center"/>
          </w:tcPr>
          <w:p w14:paraId="2506A2B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697F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7FE4D5C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二、畜产品营销组合策略制定（12 学时）</w:t>
            </w:r>
          </w:p>
        </w:tc>
        <w:tc>
          <w:tcPr>
            <w:tcW w:w="713" w:type="pct"/>
            <w:vAlign w:val="center"/>
          </w:tcPr>
          <w:p w14:paraId="0F34785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2.1 产品与价格策略制定</w:t>
            </w:r>
          </w:p>
        </w:tc>
        <w:tc>
          <w:tcPr>
            <w:tcW w:w="1402" w:type="pct"/>
            <w:vAlign w:val="center"/>
          </w:tcPr>
          <w:p w14:paraId="25A2216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产品策略（质量追溯、包装设计）；2. 价格策略（成本、竞争定价）；3. 产品质量安全标准</w:t>
            </w:r>
          </w:p>
        </w:tc>
        <w:tc>
          <w:tcPr>
            <w:tcW w:w="996" w:type="pct"/>
            <w:vAlign w:val="center"/>
          </w:tcPr>
          <w:p w14:paraId="13CB63F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设计畜产品包装 / 追溯方案；2. 制定合理定价方案</w:t>
            </w:r>
          </w:p>
        </w:tc>
        <w:tc>
          <w:tcPr>
            <w:tcW w:w="667" w:type="pct"/>
            <w:vAlign w:val="center"/>
          </w:tcPr>
          <w:p w14:paraId="00739A0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质量安全意识、诚信经营</w:t>
            </w:r>
          </w:p>
        </w:tc>
        <w:tc>
          <w:tcPr>
            <w:tcW w:w="362" w:type="pct"/>
            <w:vAlign w:val="center"/>
          </w:tcPr>
          <w:p w14:paraId="13D7B55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r w14:paraId="0F3D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6CA2CAC5">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713" w:type="pct"/>
            <w:vAlign w:val="center"/>
          </w:tcPr>
          <w:p w14:paraId="51EA240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2.2 渠道与冷链物流规划</w:t>
            </w:r>
          </w:p>
        </w:tc>
        <w:tc>
          <w:tcPr>
            <w:tcW w:w="1402" w:type="pct"/>
            <w:vAlign w:val="center"/>
          </w:tcPr>
          <w:p w14:paraId="274ACE4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传统 / 电商渠道类型；2. 冷链物流协同逻辑；3. 渠道管理基础</w:t>
            </w:r>
          </w:p>
        </w:tc>
        <w:tc>
          <w:tcPr>
            <w:tcW w:w="996" w:type="pct"/>
            <w:vAlign w:val="center"/>
          </w:tcPr>
          <w:p w14:paraId="1B70E75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选择适配的营销渠道；2. 简单规划冷链物流衔接流程</w:t>
            </w:r>
          </w:p>
        </w:tc>
        <w:tc>
          <w:tcPr>
            <w:tcW w:w="667" w:type="pct"/>
            <w:vAlign w:val="center"/>
          </w:tcPr>
          <w:p w14:paraId="1AD8D66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供应链协同意识、责任担当</w:t>
            </w:r>
          </w:p>
        </w:tc>
        <w:tc>
          <w:tcPr>
            <w:tcW w:w="362" w:type="pct"/>
            <w:vAlign w:val="center"/>
          </w:tcPr>
          <w:p w14:paraId="51C8EF7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6E69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5E54EAA5">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713" w:type="pct"/>
            <w:vAlign w:val="center"/>
          </w:tcPr>
          <w:p w14:paraId="5F4FDCC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2.3 促销策略设计与执行</w:t>
            </w:r>
          </w:p>
        </w:tc>
        <w:tc>
          <w:tcPr>
            <w:tcW w:w="1402" w:type="pct"/>
            <w:vAlign w:val="center"/>
          </w:tcPr>
          <w:p w14:paraId="038BB29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促销方式（广告、公关、直播带货）；2. 线上 / 线下促销策划要点</w:t>
            </w:r>
          </w:p>
        </w:tc>
        <w:tc>
          <w:tcPr>
            <w:tcW w:w="996" w:type="pct"/>
            <w:vAlign w:val="center"/>
          </w:tcPr>
          <w:p w14:paraId="50A0F97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撰写促销文案 / 直播话术框架；2. 策划小型线下促销活动</w:t>
            </w:r>
          </w:p>
        </w:tc>
        <w:tc>
          <w:tcPr>
            <w:tcW w:w="667" w:type="pct"/>
            <w:vAlign w:val="center"/>
          </w:tcPr>
          <w:p w14:paraId="6103649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创新思维、服务意识</w:t>
            </w:r>
          </w:p>
        </w:tc>
        <w:tc>
          <w:tcPr>
            <w:tcW w:w="362" w:type="pct"/>
            <w:vAlign w:val="center"/>
          </w:tcPr>
          <w:p w14:paraId="3EB87D5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6498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0E2DD36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三、畜产品品牌建设与客户管理（6 学时）</w:t>
            </w:r>
          </w:p>
        </w:tc>
        <w:tc>
          <w:tcPr>
            <w:tcW w:w="713" w:type="pct"/>
            <w:vAlign w:val="center"/>
          </w:tcPr>
          <w:p w14:paraId="328BFF5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3.1 畜产品品牌定位与形象设计</w:t>
            </w:r>
          </w:p>
        </w:tc>
        <w:tc>
          <w:tcPr>
            <w:tcW w:w="1402" w:type="pct"/>
            <w:vAlign w:val="center"/>
          </w:tcPr>
          <w:p w14:paraId="4B7FE4D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品牌定位核心；2. 品牌形象设计要素；3. 绿色品牌建设趋势</w:t>
            </w:r>
          </w:p>
        </w:tc>
        <w:tc>
          <w:tcPr>
            <w:tcW w:w="996" w:type="pct"/>
            <w:vAlign w:val="center"/>
          </w:tcPr>
          <w:p w14:paraId="4F98033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为畜产品进行基础品牌定位；2. 设计简单品牌形象（Logo / 口号）</w:t>
            </w:r>
          </w:p>
        </w:tc>
        <w:tc>
          <w:tcPr>
            <w:tcW w:w="667" w:type="pct"/>
            <w:vAlign w:val="center"/>
          </w:tcPr>
          <w:p w14:paraId="2174DE0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绿色发展理念、文化自信</w:t>
            </w:r>
          </w:p>
        </w:tc>
        <w:tc>
          <w:tcPr>
            <w:tcW w:w="362" w:type="pct"/>
            <w:vAlign w:val="center"/>
          </w:tcPr>
          <w:p w14:paraId="62F5F24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r w14:paraId="07E2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5E246BE8">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713" w:type="pct"/>
            <w:vAlign w:val="center"/>
          </w:tcPr>
          <w:p w14:paraId="73ACD33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3.2 客户关系维护与异议处理</w:t>
            </w:r>
          </w:p>
        </w:tc>
        <w:tc>
          <w:tcPr>
            <w:tcW w:w="1402" w:type="pct"/>
            <w:vAlign w:val="center"/>
          </w:tcPr>
          <w:p w14:paraId="3E3E3AD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客户关系管理基础；2. 常见投诉（质量 / 价格）处理逻辑</w:t>
            </w:r>
          </w:p>
        </w:tc>
        <w:tc>
          <w:tcPr>
            <w:tcW w:w="996" w:type="pct"/>
            <w:vAlign w:val="center"/>
          </w:tcPr>
          <w:p w14:paraId="6ABE4E1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模拟客户对接与产品推介；2. 应对简单客户异议</w:t>
            </w:r>
          </w:p>
        </w:tc>
        <w:tc>
          <w:tcPr>
            <w:tcW w:w="667" w:type="pct"/>
            <w:vAlign w:val="center"/>
          </w:tcPr>
          <w:p w14:paraId="1E6EEEA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沟通协作、诚信服务、责任担当</w:t>
            </w:r>
          </w:p>
        </w:tc>
        <w:tc>
          <w:tcPr>
            <w:tcW w:w="362" w:type="pct"/>
            <w:vAlign w:val="center"/>
          </w:tcPr>
          <w:p w14:paraId="62C76E8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45D3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4299CE45">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四、数字化营销与营销问题解决（6 学时）</w:t>
            </w:r>
          </w:p>
        </w:tc>
        <w:tc>
          <w:tcPr>
            <w:tcW w:w="713" w:type="pct"/>
            <w:vAlign w:val="center"/>
          </w:tcPr>
          <w:p w14:paraId="422EDF0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4.1 畜产品数字化营销应用</w:t>
            </w:r>
          </w:p>
        </w:tc>
        <w:tc>
          <w:tcPr>
            <w:tcW w:w="1402" w:type="pct"/>
            <w:vAlign w:val="center"/>
          </w:tcPr>
          <w:p w14:paraId="0FE574B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电商 / 短视频 / 社交媒体营销场景；2. 数字化工具（Excel、平台操作）基础</w:t>
            </w:r>
          </w:p>
        </w:tc>
        <w:tc>
          <w:tcPr>
            <w:tcW w:w="996" w:type="pct"/>
            <w:vAlign w:val="center"/>
          </w:tcPr>
          <w:p w14:paraId="313C4E4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发布简单线上推广内容；2. 运用工具辅助营销数据整理</w:t>
            </w:r>
          </w:p>
        </w:tc>
        <w:tc>
          <w:tcPr>
            <w:tcW w:w="667" w:type="pct"/>
            <w:vAlign w:val="center"/>
          </w:tcPr>
          <w:p w14:paraId="4B77CC8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创新奋斗精神、适应行业变化</w:t>
            </w:r>
          </w:p>
        </w:tc>
        <w:tc>
          <w:tcPr>
            <w:tcW w:w="362" w:type="pct"/>
            <w:vAlign w:val="center"/>
          </w:tcPr>
          <w:p w14:paraId="265EF00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4607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7E6C6A67">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713" w:type="pct"/>
            <w:vAlign w:val="center"/>
          </w:tcPr>
          <w:p w14:paraId="79028B6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4.2 营销常见问题识别与解决方案</w:t>
            </w:r>
          </w:p>
        </w:tc>
        <w:tc>
          <w:tcPr>
            <w:tcW w:w="1402" w:type="pct"/>
            <w:vAlign w:val="center"/>
          </w:tcPr>
          <w:p w14:paraId="464EF45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渠道不畅、库存积压等问题成因；2. 解决方案设计逻辑</w:t>
            </w:r>
          </w:p>
        </w:tc>
        <w:tc>
          <w:tcPr>
            <w:tcW w:w="996" w:type="pct"/>
            <w:vAlign w:val="center"/>
          </w:tcPr>
          <w:p w14:paraId="576E3CA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分析案例中的营销问题；2. 制定初步解决方案</w:t>
            </w:r>
          </w:p>
        </w:tc>
        <w:tc>
          <w:tcPr>
            <w:tcW w:w="667" w:type="pct"/>
            <w:vAlign w:val="center"/>
          </w:tcPr>
          <w:p w14:paraId="395A57E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问题导向思维、社会责任（减少资源浪费）</w:t>
            </w:r>
          </w:p>
        </w:tc>
        <w:tc>
          <w:tcPr>
            <w:tcW w:w="362" w:type="pct"/>
            <w:vAlign w:val="center"/>
          </w:tcPr>
          <w:p w14:paraId="2162846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0286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7" w:type="pct"/>
            <w:vAlign w:val="center"/>
          </w:tcPr>
          <w:p w14:paraId="475405B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五、综合营销方案设计与实训（2 学时）</w:t>
            </w:r>
          </w:p>
        </w:tc>
        <w:tc>
          <w:tcPr>
            <w:tcW w:w="713" w:type="pct"/>
            <w:vAlign w:val="center"/>
          </w:tcPr>
          <w:p w14:paraId="1FDFF79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5.1 小组综合营销方案设计与展示</w:t>
            </w:r>
          </w:p>
        </w:tc>
        <w:tc>
          <w:tcPr>
            <w:tcW w:w="1402" w:type="pct"/>
            <w:vAlign w:val="center"/>
          </w:tcPr>
          <w:p w14:paraId="3007F5F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整合前序所有知识点，聚焦完整方案逻辑（STP+4P + 执行细节）</w:t>
            </w:r>
          </w:p>
        </w:tc>
        <w:tc>
          <w:tcPr>
            <w:tcW w:w="996" w:type="pct"/>
            <w:vAlign w:val="center"/>
          </w:tcPr>
          <w:p w14:paraId="6AB2C50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团队协作完成方案撰写；2. 方案展示与答辩</w:t>
            </w:r>
          </w:p>
        </w:tc>
        <w:tc>
          <w:tcPr>
            <w:tcW w:w="667" w:type="pct"/>
            <w:vAlign w:val="center"/>
          </w:tcPr>
          <w:p w14:paraId="0E25997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团队协作、乡村振兴情怀、创新精神</w:t>
            </w:r>
          </w:p>
        </w:tc>
        <w:tc>
          <w:tcPr>
            <w:tcW w:w="362" w:type="pct"/>
            <w:vAlign w:val="center"/>
          </w:tcPr>
          <w:p w14:paraId="4D1E3B4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bl>
    <w:p w14:paraId="220BD750">
      <w:pPr>
        <w:pStyle w:val="3"/>
        <w:bidi w:val="0"/>
        <w:rPr>
          <w:rFonts w:hint="eastAsia"/>
          <w:lang w:val="en-US" w:eastAsia="zh-CN"/>
        </w:rPr>
      </w:pPr>
      <w:r>
        <w:rPr>
          <w:rFonts w:hint="eastAsia"/>
          <w:lang w:val="en-US" w:eastAsia="zh-CN"/>
        </w:rPr>
        <w:t>六、课程考核与评价</w:t>
      </w:r>
    </w:p>
    <w:p w14:paraId="10D7B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4"/>
      </w:tblGrid>
      <w:tr w14:paraId="24A3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14371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75F35D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11A389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F8044D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9A5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9FCC1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28B4C2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7C6B0B81">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656CAFA">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8036B92">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出勤制度（30%）、作业（40%）、课堂提问（30%）</w:t>
            </w:r>
          </w:p>
        </w:tc>
      </w:tr>
      <w:tr w14:paraId="5A49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301D98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5AA4A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7B26916">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72FD89E8">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6D2B9D8">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5418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F3AB4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C73AA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08E99F4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64DFFADB">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F621F8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以大型单元为节点进行阶段性考核评价</w:t>
            </w:r>
          </w:p>
        </w:tc>
      </w:tr>
      <w:tr w14:paraId="4B5D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590BEF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AADC8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5D7049E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以技能操作和营销方式进行</w:t>
            </w:r>
          </w:p>
        </w:tc>
        <w:tc>
          <w:tcPr>
            <w:tcW w:w="1311" w:type="dxa"/>
            <w:tcBorders>
              <w:left w:val="single" w:color="auto" w:sz="4" w:space="0"/>
              <w:right w:val="single" w:color="auto" w:sz="4" w:space="0"/>
            </w:tcBorders>
            <w:vAlign w:val="center"/>
          </w:tcPr>
          <w:p w14:paraId="4B47526C">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05577A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以学生沟通能力和对市场营销能力进行考核</w:t>
            </w:r>
          </w:p>
        </w:tc>
      </w:tr>
      <w:tr w14:paraId="17C3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BAF78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CC01295">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C1E53F5">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8982741">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对课程进行总体考核，考核学生对基本知识和基本技能的掌握程度</w:t>
            </w:r>
          </w:p>
        </w:tc>
      </w:tr>
    </w:tbl>
    <w:p w14:paraId="7EC53ADA">
      <w:pPr>
        <w:pStyle w:val="3"/>
        <w:bidi w:val="0"/>
        <w:rPr>
          <w:rFonts w:hint="eastAsia"/>
          <w:lang w:val="en-US" w:eastAsia="zh-CN"/>
        </w:rPr>
      </w:pPr>
      <w:r>
        <w:rPr>
          <w:rFonts w:hint="eastAsia"/>
          <w:lang w:val="en-US" w:eastAsia="zh-CN"/>
        </w:rPr>
        <w:t>七、课程实施与保障</w:t>
      </w:r>
    </w:p>
    <w:p w14:paraId="44B32FF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05F7A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课程建议采用探究式以及项目教学方法，选用线上线下混合式教学组织形式，建议采用信息化教学法、小组协作等教学方法，选用小组合作等学习方法,依托校内学习通等课程资源和教学平台实施教学。</w:t>
      </w:r>
    </w:p>
    <w:p w14:paraId="027135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52729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生态文明”、“绿色环保”的课程思政价值链，结合中国科学家以及行业畜牧师的经历，将生态文明意识和绿色环保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C5DFD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E550E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930FA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745CD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9039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w:t>
      </w:r>
    </w:p>
    <w:p w14:paraId="5AA9A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C89E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025F9CC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p w14:paraId="4717F197">
      <w:pPr>
        <w:rPr>
          <w:rFonts w:hint="eastAsia"/>
          <w:lang w:val="en-US" w:eastAsia="zh-CN"/>
        </w:rPr>
      </w:pPr>
      <w:bookmarkStart w:id="50" w:name="_Toc9970"/>
      <w:r>
        <w:rPr>
          <w:rFonts w:hint="eastAsia"/>
          <w:lang w:val="en-US" w:eastAsia="zh-CN"/>
        </w:rPr>
        <w:br w:type="page"/>
      </w:r>
    </w:p>
    <w:p w14:paraId="784378DD">
      <w:pPr>
        <w:pStyle w:val="2"/>
        <w:bidi w:val="0"/>
        <w:rPr>
          <w:rFonts w:hint="eastAsia"/>
          <w:lang w:val="en-US" w:eastAsia="zh-CN"/>
        </w:rPr>
      </w:pPr>
      <w:bookmarkStart w:id="51" w:name="_Toc14509"/>
      <w:r>
        <w:rPr>
          <w:rFonts w:hint="eastAsia"/>
          <w:lang w:val="en-US" w:eastAsia="zh-CN"/>
        </w:rPr>
        <w:t>《动物防疫与检疫》课程标准</w:t>
      </w:r>
      <w:bookmarkEnd w:id="50"/>
      <w:bookmarkEnd w:id="51"/>
    </w:p>
    <w:p w14:paraId="2643F862">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04"/>
        <w:gridCol w:w="1677"/>
        <w:gridCol w:w="1109"/>
        <w:gridCol w:w="1054"/>
        <w:gridCol w:w="3297"/>
      </w:tblGrid>
      <w:tr w14:paraId="44CE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FDF3D3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2E2828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动物防疫与检疫</w:t>
            </w:r>
          </w:p>
        </w:tc>
        <w:tc>
          <w:tcPr>
            <w:tcW w:w="975" w:type="dxa"/>
            <w:tcBorders>
              <w:top w:val="single" w:color="auto" w:sz="4" w:space="0"/>
              <w:left w:val="single" w:color="auto" w:sz="4" w:space="0"/>
              <w:bottom w:val="single" w:color="auto" w:sz="4" w:space="0"/>
              <w:right w:val="single" w:color="auto" w:sz="4" w:space="0"/>
            </w:tcBorders>
            <w:vAlign w:val="center"/>
          </w:tcPr>
          <w:p w14:paraId="5BB922E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AFEFA2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xcxm24022</w:t>
            </w:r>
          </w:p>
        </w:tc>
      </w:tr>
      <w:tr w14:paraId="5DBF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2E8220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9D85D73">
            <w:pPr>
              <w:jc w:val="center"/>
              <w:rPr>
                <w:rFonts w:hint="default" w:eastAsiaTheme="minorEastAsia"/>
                <w:sz w:val="21"/>
                <w:szCs w:val="21"/>
                <w:lang w:val="en-US" w:eastAsia="zh-CN"/>
              </w:rPr>
            </w:pPr>
            <w:r>
              <w:rPr>
                <w:rFonts w:hint="eastAsia"/>
                <w:sz w:val="21"/>
                <w:szCs w:val="21"/>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734F3DC7">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555182B">
            <w:pPr>
              <w:jc w:val="center"/>
              <w:rPr>
                <w:rFonts w:hint="eastAsia"/>
                <w:sz w:val="21"/>
                <w:szCs w:val="21"/>
                <w:lang w:val="en-US" w:eastAsia="zh-CN"/>
              </w:rPr>
            </w:pPr>
            <w:r>
              <w:rPr>
                <w:rFonts w:hint="eastAsia"/>
                <w:sz w:val="21"/>
                <w:szCs w:val="21"/>
                <w:lang w:val="en-US" w:eastAsia="zh-CN"/>
              </w:rPr>
              <w:t>18学时</w:t>
            </w:r>
          </w:p>
        </w:tc>
        <w:tc>
          <w:tcPr>
            <w:tcW w:w="975" w:type="dxa"/>
            <w:tcBorders>
              <w:top w:val="single" w:color="auto" w:sz="4" w:space="0"/>
              <w:left w:val="single" w:color="auto" w:sz="4" w:space="0"/>
              <w:bottom w:val="single" w:color="auto" w:sz="4" w:space="0"/>
              <w:right w:val="single" w:color="auto" w:sz="4" w:space="0"/>
            </w:tcBorders>
            <w:vAlign w:val="center"/>
          </w:tcPr>
          <w:p w14:paraId="798BE1A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E304D5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285C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C21608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4B2D201">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Arial" w:hAnsi="Arial" w:eastAsia="宋体" w:cs="Arial"/>
                <w:color w:val="auto"/>
                <w:sz w:val="21"/>
                <w:szCs w:val="21"/>
                <w:lang w:val="en-US" w:eastAsia="zh-CN"/>
              </w:rPr>
              <w:t>畜牧兽医</w:t>
            </w:r>
          </w:p>
        </w:tc>
      </w:tr>
      <w:tr w14:paraId="52AC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B50708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B1DA29A">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FB68DD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901C58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680A68A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551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805391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1030811">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动物微生物与免疫 牛羊生产 养禽与禽病防治 养猪与猪病防治</w:t>
            </w:r>
          </w:p>
        </w:tc>
      </w:tr>
      <w:tr w14:paraId="5FF4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07E247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88ACC73">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 xml:space="preserve">动物疫病防治技术 岗位实习 </w:t>
            </w:r>
          </w:p>
        </w:tc>
      </w:tr>
      <w:tr w14:paraId="5319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1280601">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95E25EB">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动物防疫与检疫</w:t>
            </w:r>
            <w:r>
              <w:rPr>
                <w:rFonts w:ascii="Arial" w:hAnsi="Arial" w:eastAsia="宋体" w:cs="Arial"/>
                <w:sz w:val="21"/>
                <w:szCs w:val="21"/>
              </w:rPr>
              <w:t>》（</w:t>
            </w:r>
            <w:r>
              <w:rPr>
                <w:rFonts w:hint="eastAsia" w:ascii="Arial" w:hAnsi="Arial" w:eastAsia="宋体" w:cs="Arial"/>
                <w:sz w:val="21"/>
                <w:szCs w:val="21"/>
                <w:lang w:val="en-US" w:eastAsia="zh-CN"/>
              </w:rPr>
              <w:t>张忠</w:t>
            </w:r>
            <w:r>
              <w:rPr>
                <w:rFonts w:hint="eastAsia" w:ascii="Arial" w:hAnsi="Arial" w:eastAsia="宋体" w:cs="Arial"/>
                <w:sz w:val="21"/>
                <w:szCs w:val="21"/>
              </w:rPr>
              <w:t>，</w:t>
            </w:r>
            <w:r>
              <w:rPr>
                <w:rFonts w:hint="eastAsia" w:ascii="Arial" w:hAnsi="Arial" w:eastAsia="宋体" w:cs="Arial"/>
                <w:sz w:val="21"/>
                <w:szCs w:val="21"/>
                <w:lang w:val="en-US" w:eastAsia="zh-CN"/>
              </w:rPr>
              <w:t>中国农业大学出版社，2022，ISBN9787565528323号</w:t>
            </w:r>
            <w:r>
              <w:rPr>
                <w:rFonts w:ascii="Arial" w:hAnsi="Arial" w:eastAsia="宋体" w:cs="Arial"/>
                <w:sz w:val="21"/>
                <w:szCs w:val="21"/>
              </w:rPr>
              <w:t>)</w:t>
            </w:r>
          </w:p>
        </w:tc>
      </w:tr>
      <w:tr w14:paraId="1C7B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07861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4777FA9">
            <w:pPr>
              <w:widowControl/>
              <w:jc w:val="left"/>
              <w:rPr>
                <w:rFonts w:hint="eastAsia" w:eastAsiaTheme="minorEastAsia"/>
                <w:sz w:val="21"/>
                <w:szCs w:val="21"/>
                <w:lang w:val="en-US" w:eastAsia="zh-CN"/>
              </w:rPr>
            </w:pPr>
            <w:r>
              <w:rPr>
                <w:rFonts w:hint="eastAsia"/>
                <w:sz w:val="21"/>
                <w:szCs w:val="21"/>
                <w:lang w:val="en-US" w:eastAsia="zh-CN"/>
              </w:rPr>
              <w:t>王庚龙</w:t>
            </w:r>
          </w:p>
        </w:tc>
        <w:tc>
          <w:tcPr>
            <w:tcW w:w="975" w:type="dxa"/>
            <w:tcBorders>
              <w:top w:val="single" w:color="auto" w:sz="4" w:space="0"/>
              <w:left w:val="single" w:color="auto" w:sz="4" w:space="0"/>
              <w:bottom w:val="single" w:color="auto" w:sz="4" w:space="0"/>
              <w:right w:val="single" w:color="auto" w:sz="4" w:space="0"/>
            </w:tcBorders>
            <w:vAlign w:val="center"/>
          </w:tcPr>
          <w:p w14:paraId="22D31EF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3A66FE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2025年7月</w:t>
            </w:r>
          </w:p>
        </w:tc>
      </w:tr>
      <w:tr w14:paraId="118D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A3CD6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D6D46AF">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3EC5011A">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9FB5B4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2025年8月</w:t>
            </w:r>
          </w:p>
        </w:tc>
      </w:tr>
    </w:tbl>
    <w:p w14:paraId="4408365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36FDB75">
      <w:pPr>
        <w:pStyle w:val="3"/>
        <w:bidi w:val="0"/>
        <w:rPr>
          <w:rFonts w:hint="eastAsia"/>
          <w:lang w:val="en-US" w:eastAsia="zh-CN"/>
        </w:rPr>
      </w:pPr>
      <w:r>
        <w:rPr>
          <w:rFonts w:hint="eastAsia"/>
          <w:lang w:val="en-US" w:eastAsia="zh-CN"/>
        </w:rPr>
        <w:t>二、课程定位</w:t>
      </w:r>
    </w:p>
    <w:p w14:paraId="0A905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必修的一门专业选修课程，是在动物微生物与免疫、牛羊生产、 养禽与禽病防治、养猪与猪病防治基础上开设的一门理论+实践的课程，对接专业人才培养目标，面向畜牧兽医工作岗位，培养学生具备动物养殖场防疫、动物及动物产品检疫职业素质，具备为保障畜牧业健康发展、公共卫生安全及动物产品质量安全能力，为后续岗位实习课程学习奠定基础的课程。同时，将课程思政内容融入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B3DFDA1">
      <w:pPr>
        <w:pStyle w:val="3"/>
        <w:bidi w:val="0"/>
        <w:rPr>
          <w:rFonts w:hint="eastAsia"/>
          <w:lang w:val="en-US" w:eastAsia="zh-CN"/>
        </w:rPr>
      </w:pPr>
      <w:r>
        <w:rPr>
          <w:rFonts w:hint="eastAsia"/>
          <w:lang w:val="en-US" w:eastAsia="zh-CN"/>
        </w:rPr>
        <w:t>三、课程设计思路</w:t>
      </w:r>
    </w:p>
    <w:p w14:paraId="50A4B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以岗位需求为核心：调研动物防疫员、检疫员、养殖场技术人员等岗位的核心工作任务，提炼必备知识与技能，转化为课程教学模块，确保教学内容与岗位要求精准对接。</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CN"/>
        </w:rPr>
        <w:t>以能力培养为主线：构建 “理论讲解 — 法规解读 — 实操训练 — 案例分析” 的教学链条，36 学时中分配 1</w:t>
      </w:r>
      <w:r>
        <w:rPr>
          <w:rFonts w:hint="eastAsia" w:asciiTheme="minorEastAsia" w:hAnsiTheme="minorEastAsia" w:cstheme="minorEastAsia"/>
          <w:sz w:val="24"/>
          <w:szCs w:val="24"/>
          <w:lang w:val="en-US" w:eastAsia="zh-CN"/>
        </w:rPr>
        <w:t>8</w:t>
      </w:r>
      <w:r>
        <w:rPr>
          <w:rFonts w:hint="default" w:asciiTheme="minorEastAsia" w:hAnsiTheme="minorEastAsia" w:cstheme="minorEastAsia"/>
          <w:sz w:val="24"/>
          <w:szCs w:val="24"/>
          <w:lang w:val="en-US" w:eastAsia="zh-CN"/>
        </w:rPr>
        <w:t>学时用于实践教学，强化动手操作能力和应急处置能力。​</w:t>
      </w:r>
      <w:r>
        <w:rPr>
          <w:rFonts w:hint="eastAsia" w:asciiTheme="minorEastAsia" w:hAnsiTheme="minorEastAsia" w:cstheme="minorEastAsia"/>
          <w:sz w:val="24"/>
          <w:szCs w:val="24"/>
          <w:lang w:val="en-US" w:eastAsia="zh-CN"/>
        </w:rPr>
        <w:t xml:space="preserve"> </w:t>
      </w:r>
      <w:r>
        <w:rPr>
          <w:rFonts w:hint="default" w:asciiTheme="minorEastAsia" w:hAnsiTheme="minorEastAsia" w:cstheme="minorEastAsia"/>
          <w:sz w:val="24"/>
          <w:szCs w:val="24"/>
          <w:lang w:val="en-US" w:eastAsia="zh-CN"/>
        </w:rPr>
        <w:t>以法规标准为依据：将《动物防疫法》《动物检疫管理办法》《重大动物疫情应急条例》等核心法规贯穿教学全过程，突出行业合规性要求。​</w:t>
      </w:r>
    </w:p>
    <w:p w14:paraId="6695C2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以思政融入为引领：将生命至上、法治观念、责任担当、敬业精神、公共卫生安全意识等思政元素融入教学，实现知识传授、技能培养与价值引领的统一。</w:t>
      </w:r>
    </w:p>
    <w:p w14:paraId="0518B80B">
      <w:pPr>
        <w:pStyle w:val="3"/>
        <w:bidi w:val="0"/>
        <w:rPr>
          <w:rFonts w:hint="eastAsia"/>
          <w:lang w:val="en-US" w:eastAsia="zh-CN"/>
        </w:rPr>
      </w:pPr>
      <w:r>
        <w:rPr>
          <w:rFonts w:hint="eastAsia"/>
          <w:lang w:val="en-US" w:eastAsia="zh-CN"/>
        </w:rPr>
        <w:t>四、课程目标</w:t>
      </w:r>
    </w:p>
    <w:p w14:paraId="048DB4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A635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掌握动物防疫与检疫的基本概念、核心原则及行业发展现状，熟悉《动物防疫法》等相关法律法规及技术标准。</w:t>
      </w:r>
      <w:r>
        <w:rPr>
          <w:rFonts w:hint="default" w:asciiTheme="minorEastAsia" w:hAnsiTheme="minorEastAsia" w:eastAsiaTheme="minorEastAsia" w:cstheme="minorEastAsia"/>
          <w:sz w:val="24"/>
          <w:szCs w:val="24"/>
        </w:rPr>
        <w:t>​</w:t>
      </w:r>
    </w:p>
    <w:p w14:paraId="7DBA8C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rPr>
        <w:t>了解常见动物疫病（猪瘟、新城疫、禽流感等）的病原学特征、临床症状、流行规律及防控要点。​</w:t>
      </w:r>
    </w:p>
    <w:p w14:paraId="78AEBD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rPr>
        <w:t>掌握动物防疫的核心技术（消毒、免疫接种、驱虫、隔离封锁）的原理与操作规范。</w:t>
      </w:r>
    </w:p>
    <w:p w14:paraId="44195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rPr>
        <w:t>理解动物检疫的分类（产地检疫、屠宰检疫、运输检疫）、程序及合格标准，掌握检疫申报、检疫检验、结果判定的基本要求。​</w:t>
      </w:r>
    </w:p>
    <w:p w14:paraId="1A06C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rPr>
        <w:t>熟悉动物产品检疫的重点环节（屠宰加工、储存运输）及检疫不合格产品的处理方式（销毁、无害化处理）。​</w:t>
      </w:r>
    </w:p>
    <w:p w14:paraId="48A939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default" w:asciiTheme="minorEastAsia" w:hAnsiTheme="minorEastAsia" w:eastAsiaTheme="minorEastAsia" w:cstheme="minorEastAsia"/>
          <w:sz w:val="24"/>
          <w:szCs w:val="24"/>
        </w:rPr>
        <w:t>了解重大动物疫情的应急响应流程、处置原则及个人防护知识，掌握疫情监测与报告的基本方法。​</w:t>
      </w:r>
    </w:p>
    <w:p w14:paraId="3E7EF3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7.</w:t>
      </w:r>
      <w:r>
        <w:rPr>
          <w:rFonts w:hint="default" w:asciiTheme="minorEastAsia" w:hAnsiTheme="minorEastAsia" w:eastAsiaTheme="minorEastAsia" w:cstheme="minorEastAsia"/>
          <w:sz w:val="24"/>
          <w:szCs w:val="24"/>
        </w:rPr>
        <w:t>掌握防疫检疫常用仪器设备（体温计、注射器、显微镜、检疫工具包）的使用与维护方法。</w:t>
      </w:r>
    </w:p>
    <w:p w14:paraId="724666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548DEC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1.具备正确选择和使用消毒药、消毒设备的能力，能独立完成养殖场、屠宰场等场所的消毒操作及效果评估。</w:t>
      </w:r>
      <w:r>
        <w:rPr>
          <w:rFonts w:hint="default" w:asciiTheme="minorEastAsia" w:hAnsiTheme="minorEastAsia" w:eastAsiaTheme="minorEastAsia" w:cstheme="minorEastAsia"/>
          <w:sz w:val="24"/>
          <w:szCs w:val="24"/>
          <w:lang w:val="en-US" w:eastAsia="zh-CN"/>
        </w:rPr>
        <w:t>​</w:t>
      </w:r>
    </w:p>
    <w:p w14:paraId="7B968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能够规范进行动物免疫接种（注射、滴鼻、点眼等方式），准确掌握接种剂量、部位及注意事项，处理常见接种反应。​</w:t>
      </w:r>
    </w:p>
    <w:p w14:paraId="1F9E2D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具备动物产地检疫、屠宰检疫的基本操作能力，能识别动物临床健康状况，对常见疫病进行初步判断。​</w:t>
      </w:r>
    </w:p>
    <w:p w14:paraId="231EC8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能够规范填写检疫申报单、检疫证明等相关文书，准确记录防疫检疫工作数据。​</w:t>
      </w:r>
      <w:r>
        <w:rPr>
          <w:rFonts w:hint="eastAsia" w:asciiTheme="minorEastAsia" w:hAnsiTheme="minorEastAsia" w:cstheme="minorEastAsia"/>
          <w:sz w:val="24"/>
          <w:szCs w:val="24"/>
          <w:lang w:val="en-US" w:eastAsia="zh-CN"/>
        </w:rPr>
        <w:t xml:space="preserve">  5.</w:t>
      </w:r>
      <w:r>
        <w:rPr>
          <w:rFonts w:hint="default" w:asciiTheme="minorEastAsia" w:hAnsiTheme="minorEastAsia" w:eastAsiaTheme="minorEastAsia" w:cstheme="minorEastAsia"/>
          <w:sz w:val="24"/>
          <w:szCs w:val="24"/>
          <w:lang w:val="en-US" w:eastAsia="zh-CN"/>
        </w:rPr>
        <w:t>具备初步的重大动物疫情识别与报告能力，能配合完成疫情应急处置的基础工作（如隔离、消毒）。​</w:t>
      </w:r>
    </w:p>
    <w:p w14:paraId="7E5376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default" w:asciiTheme="minorEastAsia" w:hAnsiTheme="minorEastAsia" w:eastAsiaTheme="minorEastAsia" w:cstheme="minorEastAsia"/>
          <w:sz w:val="24"/>
          <w:szCs w:val="24"/>
          <w:lang w:val="en-US" w:eastAsia="zh-CN"/>
        </w:rPr>
        <w:t>能够正确使用防疫检疫常用仪器设备，进行简单维护与故障排查。​</w:t>
      </w:r>
    </w:p>
    <w:p w14:paraId="40EC56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7.</w:t>
      </w:r>
      <w:r>
        <w:rPr>
          <w:rFonts w:hint="default" w:asciiTheme="minorEastAsia" w:hAnsiTheme="minorEastAsia" w:eastAsiaTheme="minorEastAsia" w:cstheme="minorEastAsia"/>
          <w:sz w:val="24"/>
          <w:szCs w:val="24"/>
          <w:lang w:val="en-US" w:eastAsia="zh-CN"/>
        </w:rPr>
        <w:t>具备良好的沟通协调能力，能向养殖业主、屠宰企业人员宣传防疫检疫法规与技术要求。</w:t>
      </w:r>
    </w:p>
    <w:p w14:paraId="634723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831FD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1.培养爱岗敬业、严谨细致的职业素养，树立 “预防为主、防治结合” 的防疫理念，坚守动物防疫检疫工作底线。</w:t>
      </w:r>
      <w:r>
        <w:rPr>
          <w:rFonts w:hint="default" w:asciiTheme="minorEastAsia" w:hAnsiTheme="minorEastAsia" w:eastAsiaTheme="minorEastAsia" w:cstheme="minorEastAsia"/>
          <w:sz w:val="24"/>
          <w:szCs w:val="24"/>
          <w:lang w:val="en-US" w:eastAsia="zh-CN"/>
        </w:rPr>
        <w:t>​</w:t>
      </w:r>
    </w:p>
    <w:p w14:paraId="55E5D1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具备较强的责任担当意识，认识到防疫检疫工作对公共卫生安全、畜牧业发展的重要意义，自觉履行岗位职责。​</w:t>
      </w:r>
    </w:p>
    <w:p w14:paraId="724CC8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养成依法办事、合规操作的职业习惯，严格遵守行业法律法规与技术标准，杜绝违规操作。​</w:t>
      </w:r>
    </w:p>
    <w:p w14:paraId="6E4A96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具备良好的应急处置能力和抗压能力，能冷静应对疫病防控中的突发情况。​</w:t>
      </w:r>
    </w:p>
    <w:p w14:paraId="7EE1F0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培养团队协作精神，能够与同事、相关部门人员协同完成防疫检疫、疫情处置等工作。​</w:t>
      </w:r>
      <w:r>
        <w:rPr>
          <w:rFonts w:hint="eastAsia" w:asciiTheme="minorEastAsia" w:hAnsiTheme="minorEastAsia" w:cstheme="minorEastAsia"/>
          <w:sz w:val="24"/>
          <w:szCs w:val="24"/>
          <w:lang w:val="en-US" w:eastAsia="zh-CN"/>
        </w:rPr>
        <w:t xml:space="preserve"> 6.</w:t>
      </w:r>
      <w:r>
        <w:rPr>
          <w:rFonts w:hint="default" w:asciiTheme="minorEastAsia" w:hAnsiTheme="minorEastAsia" w:eastAsiaTheme="minorEastAsia" w:cstheme="minorEastAsia"/>
          <w:sz w:val="24"/>
          <w:szCs w:val="24"/>
          <w:lang w:val="en-US" w:eastAsia="zh-CN"/>
        </w:rPr>
        <w:t>树立终身学习意识，主动关注行业新技术、新法规、新疫病动态，持续提升专业能力。</w:t>
      </w:r>
    </w:p>
    <w:p w14:paraId="37F0BB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15CDD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职业道德：树立“爱岗敬业、诚实守信、精益求精”的职业理念，遵守行业职业道德规范和岗位行为准则培养奉献精神与敬业品格，弘扬 “不怕苦、不怕累、敢担当” 的行业作风，在平凡岗位上实现职业价值。；​</w:t>
      </w:r>
    </w:p>
    <w:p w14:paraId="68499C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工匠精神：培养科学严谨、求真务实的工作态度，坚决抵制弄虚作假、敷衍了事的行为，保障防疫检疫结果真实可靠。；​</w:t>
      </w:r>
    </w:p>
    <w:p w14:paraId="1D8D41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法治意识：强化法治观念，自觉遵守《动物防疫法》等法律法规，做到依法检疫、依规防疫，维护行业秩序与公共利益。</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p w14:paraId="1FF0B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227B47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018DA2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生态文明：树立生命至上、以人为本的理念，在工作中注重个人防护与他人安全，践行 “人民至上、生命至上” 的价值追求</w:t>
      </w:r>
    </w:p>
    <w:p w14:paraId="7D1791A2">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1204"/>
        <w:gridCol w:w="2462"/>
        <w:gridCol w:w="2239"/>
        <w:gridCol w:w="1262"/>
        <w:gridCol w:w="712"/>
      </w:tblGrid>
      <w:tr w14:paraId="5618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000" w:type="pct"/>
            <w:vAlign w:val="center"/>
          </w:tcPr>
          <w:p w14:paraId="51E40DE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611" w:type="pct"/>
            <w:vAlign w:val="center"/>
          </w:tcPr>
          <w:p w14:paraId="54C85E1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6FA8635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249" w:type="pct"/>
            <w:vAlign w:val="center"/>
          </w:tcPr>
          <w:p w14:paraId="0EA06EE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36" w:type="pct"/>
            <w:vAlign w:val="center"/>
          </w:tcPr>
          <w:p w14:paraId="1113D9F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40" w:type="pct"/>
            <w:vAlign w:val="center"/>
          </w:tcPr>
          <w:p w14:paraId="1AD45EF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61" w:type="pct"/>
            <w:vAlign w:val="center"/>
          </w:tcPr>
          <w:p w14:paraId="276FD9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990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463C606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一、动物防疫与检疫认知（4 学时）</w:t>
            </w:r>
          </w:p>
        </w:tc>
        <w:tc>
          <w:tcPr>
            <w:tcW w:w="611" w:type="pct"/>
            <w:vAlign w:val="center"/>
          </w:tcPr>
          <w:p w14:paraId="60FE4F9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1.1 动物防疫与检疫概述</w:t>
            </w:r>
          </w:p>
        </w:tc>
        <w:tc>
          <w:tcPr>
            <w:tcW w:w="1249" w:type="pct"/>
            <w:vAlign w:val="center"/>
          </w:tcPr>
          <w:p w14:paraId="7703B98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防疫检疫基本概念、原则；2. 行业发展现状与岗位职责；3. 《动物防疫法》核心条款</w:t>
            </w:r>
          </w:p>
        </w:tc>
        <w:tc>
          <w:tcPr>
            <w:tcW w:w="1136" w:type="pct"/>
            <w:vAlign w:val="center"/>
          </w:tcPr>
          <w:p w14:paraId="488ADEA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明确防疫检疫工作的重要性；2. 解读基础法规条款</w:t>
            </w:r>
          </w:p>
        </w:tc>
        <w:tc>
          <w:tcPr>
            <w:tcW w:w="640" w:type="pct"/>
            <w:vAlign w:val="center"/>
          </w:tcPr>
          <w:p w14:paraId="5FCB5F9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Theme="minorEastAsia" w:hAnsiTheme="minorEastAsia" w:eastAsiaTheme="minorEastAsia" w:cstheme="minorEastAsia"/>
                <w:sz w:val="21"/>
                <w:szCs w:val="21"/>
                <w:lang w:val="en-US" w:eastAsia="zh-CN"/>
              </w:rPr>
            </w:pPr>
            <w:r>
              <w:rPr>
                <w:rFonts w:ascii="宋体" w:hAnsi="宋体" w:eastAsia="宋体" w:cs="宋体"/>
                <w:kern w:val="0"/>
                <w:sz w:val="21"/>
                <w:szCs w:val="21"/>
                <w:lang w:val="en-US" w:eastAsia="zh-CN" w:bidi="ar"/>
              </w:rPr>
              <w:t>法治观念、职业使命感</w:t>
            </w:r>
          </w:p>
        </w:tc>
        <w:tc>
          <w:tcPr>
            <w:tcW w:w="361" w:type="pct"/>
            <w:vAlign w:val="center"/>
          </w:tcPr>
          <w:p w14:paraId="484CA85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62D8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538CC444">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5EC773A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1.2 动物疫病基础知识</w:t>
            </w:r>
          </w:p>
        </w:tc>
        <w:tc>
          <w:tcPr>
            <w:tcW w:w="1249" w:type="pct"/>
            <w:vAlign w:val="center"/>
          </w:tcPr>
          <w:p w14:paraId="4A07733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常见动物疫病分类、病原特征；2. 疫病流行三要素；3. 疫病防控基本思路</w:t>
            </w:r>
          </w:p>
        </w:tc>
        <w:tc>
          <w:tcPr>
            <w:tcW w:w="1136" w:type="pct"/>
            <w:vAlign w:val="center"/>
          </w:tcPr>
          <w:p w14:paraId="1470021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识别常见疫病临床典型症状；2. 分析疫病流行风险</w:t>
            </w:r>
          </w:p>
        </w:tc>
        <w:tc>
          <w:tcPr>
            <w:tcW w:w="640" w:type="pct"/>
            <w:vAlign w:val="center"/>
          </w:tcPr>
          <w:p w14:paraId="1C0610F5">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科学思维、责任担当</w:t>
            </w:r>
          </w:p>
        </w:tc>
        <w:tc>
          <w:tcPr>
            <w:tcW w:w="361" w:type="pct"/>
            <w:vAlign w:val="center"/>
          </w:tcPr>
          <w:p w14:paraId="7890474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34B2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38305D4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二、动物防疫核心技术（10 学时）</w:t>
            </w:r>
          </w:p>
        </w:tc>
        <w:tc>
          <w:tcPr>
            <w:tcW w:w="611" w:type="pct"/>
            <w:vAlign w:val="center"/>
          </w:tcPr>
          <w:p w14:paraId="2330C86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2.1 消毒技术应用</w:t>
            </w:r>
          </w:p>
        </w:tc>
        <w:tc>
          <w:tcPr>
            <w:tcW w:w="1249" w:type="pct"/>
            <w:vAlign w:val="center"/>
          </w:tcPr>
          <w:p w14:paraId="1C3CF5E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消毒药分类、选择原则；2. 消毒方法（喷雾、浸泡、熏蒸）；3. 消毒效果评估</w:t>
            </w:r>
          </w:p>
        </w:tc>
        <w:tc>
          <w:tcPr>
            <w:tcW w:w="1136" w:type="pct"/>
            <w:vAlign w:val="center"/>
          </w:tcPr>
          <w:p w14:paraId="78440E3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正确选择消毒药与消毒方法；2. 规范完成场所消毒操作；3. 评估消毒效果</w:t>
            </w:r>
          </w:p>
        </w:tc>
        <w:tc>
          <w:tcPr>
            <w:tcW w:w="640" w:type="pct"/>
            <w:vAlign w:val="center"/>
          </w:tcPr>
          <w:p w14:paraId="5031789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严谨细致、责任担当</w:t>
            </w:r>
          </w:p>
        </w:tc>
        <w:tc>
          <w:tcPr>
            <w:tcW w:w="361" w:type="pct"/>
            <w:vAlign w:val="center"/>
          </w:tcPr>
          <w:p w14:paraId="595D9BF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4323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36D3ADD2">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0C1EAF0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2.2 免疫接种技术</w:t>
            </w:r>
          </w:p>
        </w:tc>
        <w:tc>
          <w:tcPr>
            <w:tcW w:w="1249" w:type="pct"/>
            <w:vAlign w:val="center"/>
          </w:tcPr>
          <w:p w14:paraId="79D948A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疫苗分类、储存与运输要求；2. 接种方法（注射、滴鼻等）；3. 接种反应处理</w:t>
            </w:r>
          </w:p>
        </w:tc>
        <w:tc>
          <w:tcPr>
            <w:tcW w:w="1136" w:type="pct"/>
            <w:vAlign w:val="center"/>
          </w:tcPr>
          <w:p w14:paraId="7A10690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规范储存与稀释疫苗；2. 精准完成动物免疫接种；3. 处理常见接种反应</w:t>
            </w:r>
          </w:p>
        </w:tc>
        <w:tc>
          <w:tcPr>
            <w:tcW w:w="640" w:type="pct"/>
            <w:vAlign w:val="center"/>
          </w:tcPr>
          <w:p w14:paraId="73EC4C0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敬业精神、科学严谨</w:t>
            </w:r>
          </w:p>
        </w:tc>
        <w:tc>
          <w:tcPr>
            <w:tcW w:w="361" w:type="pct"/>
            <w:vAlign w:val="center"/>
          </w:tcPr>
          <w:p w14:paraId="36F997E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6</w:t>
            </w:r>
          </w:p>
        </w:tc>
      </w:tr>
      <w:tr w14:paraId="6E5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4CE03D9A">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2D30236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2.3 隔离与驱虫技术</w:t>
            </w:r>
          </w:p>
        </w:tc>
        <w:tc>
          <w:tcPr>
            <w:tcW w:w="1249" w:type="pct"/>
            <w:vAlign w:val="center"/>
          </w:tcPr>
          <w:p w14:paraId="214DC66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隔离封锁原则与流程；2. 驱虫药物选择与使用规范；3. 驱虫效果监测</w:t>
            </w:r>
          </w:p>
        </w:tc>
        <w:tc>
          <w:tcPr>
            <w:tcW w:w="1136" w:type="pct"/>
            <w:vAlign w:val="center"/>
          </w:tcPr>
          <w:p w14:paraId="3C27506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制定简单隔离方案；2. 规范进行驱虫操作</w:t>
            </w:r>
          </w:p>
        </w:tc>
        <w:tc>
          <w:tcPr>
            <w:tcW w:w="640" w:type="pct"/>
            <w:vAlign w:val="center"/>
          </w:tcPr>
          <w:p w14:paraId="14640F65">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责任意识、协同配合</w:t>
            </w:r>
          </w:p>
        </w:tc>
        <w:tc>
          <w:tcPr>
            <w:tcW w:w="361" w:type="pct"/>
            <w:vAlign w:val="center"/>
          </w:tcPr>
          <w:p w14:paraId="41321F8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r w14:paraId="0266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27CA944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三、动物检疫操作规范（12 学时）</w:t>
            </w:r>
          </w:p>
        </w:tc>
        <w:tc>
          <w:tcPr>
            <w:tcW w:w="611" w:type="pct"/>
            <w:vAlign w:val="center"/>
          </w:tcPr>
          <w:p w14:paraId="01E551D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3.1 检疫申报与准备</w:t>
            </w:r>
          </w:p>
        </w:tc>
        <w:tc>
          <w:tcPr>
            <w:tcW w:w="1249" w:type="pct"/>
            <w:vAlign w:val="center"/>
          </w:tcPr>
          <w:p w14:paraId="1438BF7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检疫分类（产地、屠宰、运输）；2. 检疫申报流程；3. 检疫工具与防护装备使用</w:t>
            </w:r>
          </w:p>
        </w:tc>
        <w:tc>
          <w:tcPr>
            <w:tcW w:w="1136" w:type="pct"/>
            <w:vAlign w:val="center"/>
          </w:tcPr>
          <w:p w14:paraId="6ED694A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规范填写检疫申报单；2. 准备检疫工具与防护装备</w:t>
            </w:r>
          </w:p>
        </w:tc>
        <w:tc>
          <w:tcPr>
            <w:tcW w:w="640" w:type="pct"/>
            <w:vAlign w:val="center"/>
          </w:tcPr>
          <w:p w14:paraId="5CC1FB8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合规意识、安全防护</w:t>
            </w:r>
          </w:p>
        </w:tc>
        <w:tc>
          <w:tcPr>
            <w:tcW w:w="361" w:type="pct"/>
            <w:vAlign w:val="center"/>
          </w:tcPr>
          <w:p w14:paraId="3532CF7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r w14:paraId="4CA9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0BD2CDF5">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0C0143BF">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3.2 产地检疫实操</w:t>
            </w:r>
          </w:p>
        </w:tc>
        <w:tc>
          <w:tcPr>
            <w:tcW w:w="1249" w:type="pct"/>
            <w:vAlign w:val="center"/>
          </w:tcPr>
          <w:p w14:paraId="4F8BC4D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产地检疫程序（临床检查、免疫核查）；2. 检疫合格标准；3. 检疫证明填写</w:t>
            </w:r>
          </w:p>
        </w:tc>
        <w:tc>
          <w:tcPr>
            <w:tcW w:w="1136" w:type="pct"/>
            <w:vAlign w:val="center"/>
          </w:tcPr>
          <w:p w14:paraId="0200FED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进行动物临床健康检查；2. 判定检疫结果并填写证明</w:t>
            </w:r>
          </w:p>
        </w:tc>
        <w:tc>
          <w:tcPr>
            <w:tcW w:w="640" w:type="pct"/>
            <w:vAlign w:val="center"/>
          </w:tcPr>
          <w:p w14:paraId="7BC9F05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求真务实、依法办事</w:t>
            </w:r>
          </w:p>
        </w:tc>
        <w:tc>
          <w:tcPr>
            <w:tcW w:w="361" w:type="pct"/>
            <w:vAlign w:val="center"/>
          </w:tcPr>
          <w:p w14:paraId="569BEDF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3C42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5E56A4DA">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7EA9B14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3.3 屠宰检疫实操</w:t>
            </w:r>
          </w:p>
        </w:tc>
        <w:tc>
          <w:tcPr>
            <w:tcW w:w="1249" w:type="pct"/>
            <w:vAlign w:val="center"/>
          </w:tcPr>
          <w:p w14:paraId="12A3FAC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屠宰检疫关键环节（宰前、宰中、宰后）；2. 病变组织识别；3. 不合格产品处理</w:t>
            </w:r>
          </w:p>
        </w:tc>
        <w:tc>
          <w:tcPr>
            <w:tcW w:w="1136" w:type="pct"/>
            <w:vAlign w:val="center"/>
          </w:tcPr>
          <w:p w14:paraId="47141F5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规范开展屠宰各环节检疫；2. 识别常见病变组织；3. 提出不合格产品处理建议</w:t>
            </w:r>
          </w:p>
        </w:tc>
        <w:tc>
          <w:tcPr>
            <w:tcW w:w="640" w:type="pct"/>
            <w:vAlign w:val="center"/>
          </w:tcPr>
          <w:p w14:paraId="072B4AF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责任担当、严谨细致</w:t>
            </w:r>
          </w:p>
        </w:tc>
        <w:tc>
          <w:tcPr>
            <w:tcW w:w="361" w:type="pct"/>
            <w:vAlign w:val="center"/>
          </w:tcPr>
          <w:p w14:paraId="5148EBF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6</w:t>
            </w:r>
          </w:p>
        </w:tc>
      </w:tr>
      <w:tr w14:paraId="64F2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577D48E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四、重大动物疫情应急处置（6 学时）</w:t>
            </w:r>
          </w:p>
        </w:tc>
        <w:tc>
          <w:tcPr>
            <w:tcW w:w="611" w:type="pct"/>
            <w:vAlign w:val="center"/>
          </w:tcPr>
          <w:p w14:paraId="407E9725">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4.1 疫情监测与报告</w:t>
            </w:r>
          </w:p>
        </w:tc>
        <w:tc>
          <w:tcPr>
            <w:tcW w:w="1249" w:type="pct"/>
            <w:vAlign w:val="center"/>
          </w:tcPr>
          <w:p w14:paraId="693ACFF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疫情监测方法；2. 疫情报告流程与要求；3. 《重大动物疫情应急条例》核心内容</w:t>
            </w:r>
          </w:p>
        </w:tc>
        <w:tc>
          <w:tcPr>
            <w:tcW w:w="1136" w:type="pct"/>
            <w:vAlign w:val="center"/>
          </w:tcPr>
          <w:p w14:paraId="5945B19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开展简单疫情监测；2. 规范填写疫情报告表</w:t>
            </w:r>
          </w:p>
        </w:tc>
        <w:tc>
          <w:tcPr>
            <w:tcW w:w="640" w:type="pct"/>
            <w:vAlign w:val="center"/>
          </w:tcPr>
          <w:p w14:paraId="7EDF087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法治观念、公共卫生安全意识</w:t>
            </w:r>
          </w:p>
        </w:tc>
        <w:tc>
          <w:tcPr>
            <w:tcW w:w="361" w:type="pct"/>
            <w:vAlign w:val="center"/>
          </w:tcPr>
          <w:p w14:paraId="5A3E6D29">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2</w:t>
            </w:r>
          </w:p>
        </w:tc>
      </w:tr>
      <w:tr w14:paraId="3CAC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60989F38">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45F25808">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4.2 疫情应急处置基础</w:t>
            </w:r>
          </w:p>
        </w:tc>
        <w:tc>
          <w:tcPr>
            <w:tcW w:w="1249" w:type="pct"/>
            <w:vAlign w:val="center"/>
          </w:tcPr>
          <w:p w14:paraId="2B7CDAAE">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应急响应等级；2. 隔离、封锁、扑杀等处置措施；3. 个人防护规范</w:t>
            </w:r>
          </w:p>
        </w:tc>
        <w:tc>
          <w:tcPr>
            <w:tcW w:w="1136" w:type="pct"/>
            <w:vAlign w:val="center"/>
          </w:tcPr>
          <w:p w14:paraId="35AE02A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配合完成疫情现场隔离消毒；2. 正确穿戴防护装备</w:t>
            </w:r>
          </w:p>
        </w:tc>
        <w:tc>
          <w:tcPr>
            <w:tcW w:w="640" w:type="pct"/>
            <w:vAlign w:val="center"/>
          </w:tcPr>
          <w:p w14:paraId="60D4C3A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生命至上、奉献精神</w:t>
            </w:r>
          </w:p>
        </w:tc>
        <w:tc>
          <w:tcPr>
            <w:tcW w:w="361" w:type="pct"/>
            <w:vAlign w:val="center"/>
          </w:tcPr>
          <w:p w14:paraId="4C8B27E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3215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3041D7C1">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五、防疫检疫仪器设备使用（4 学时）</w:t>
            </w:r>
          </w:p>
        </w:tc>
        <w:tc>
          <w:tcPr>
            <w:tcW w:w="611" w:type="pct"/>
            <w:vAlign w:val="center"/>
          </w:tcPr>
          <w:p w14:paraId="4870EC16">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5.1 常用仪器设备操作</w:t>
            </w:r>
          </w:p>
        </w:tc>
        <w:tc>
          <w:tcPr>
            <w:tcW w:w="1249" w:type="pct"/>
            <w:vAlign w:val="center"/>
          </w:tcPr>
          <w:p w14:paraId="1C0FA50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体温计、注射器、显微镜等设备原理；2. 设备使用与维护规范；3. 操作安全要求</w:t>
            </w:r>
          </w:p>
        </w:tc>
        <w:tc>
          <w:tcPr>
            <w:tcW w:w="1136" w:type="pct"/>
            <w:vAlign w:val="center"/>
          </w:tcPr>
          <w:p w14:paraId="701CF09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正确操作常用防疫检疫设备；2. 进行设备简单维护与故障排查</w:t>
            </w:r>
          </w:p>
        </w:tc>
        <w:tc>
          <w:tcPr>
            <w:tcW w:w="640" w:type="pct"/>
            <w:vAlign w:val="center"/>
          </w:tcPr>
          <w:p w14:paraId="5DB7819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安全意识、科学严谨</w:t>
            </w:r>
          </w:p>
        </w:tc>
        <w:tc>
          <w:tcPr>
            <w:tcW w:w="361" w:type="pct"/>
            <w:vAlign w:val="center"/>
          </w:tcPr>
          <w:p w14:paraId="0DE6D9E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0AD2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3A806BFD">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六、综合实训与案例分析（6 学时）</w:t>
            </w:r>
          </w:p>
        </w:tc>
        <w:tc>
          <w:tcPr>
            <w:tcW w:w="611" w:type="pct"/>
            <w:vAlign w:val="center"/>
          </w:tcPr>
          <w:p w14:paraId="1E889B93">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6.1 综合防疫检疫案例分析</w:t>
            </w:r>
          </w:p>
        </w:tc>
        <w:tc>
          <w:tcPr>
            <w:tcW w:w="1249" w:type="pct"/>
            <w:vAlign w:val="center"/>
          </w:tcPr>
          <w:p w14:paraId="3366887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典型防疫检疫事故案例；2. 案例成因与整改措施；3. 行业前沿技术应用</w:t>
            </w:r>
          </w:p>
        </w:tc>
        <w:tc>
          <w:tcPr>
            <w:tcW w:w="1136" w:type="pct"/>
            <w:vAlign w:val="center"/>
          </w:tcPr>
          <w:p w14:paraId="053F11FA">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分析案例中存在的问题；2. 提出解决方案</w:t>
            </w:r>
          </w:p>
        </w:tc>
        <w:tc>
          <w:tcPr>
            <w:tcW w:w="640" w:type="pct"/>
            <w:vAlign w:val="center"/>
          </w:tcPr>
          <w:p w14:paraId="73F00912">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反思意识、敬业精神</w:t>
            </w:r>
          </w:p>
        </w:tc>
        <w:tc>
          <w:tcPr>
            <w:tcW w:w="361" w:type="pct"/>
            <w:vAlign w:val="center"/>
          </w:tcPr>
          <w:p w14:paraId="7181B37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2BAF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0" w:type="pct"/>
            <w:vAlign w:val="center"/>
          </w:tcPr>
          <w:p w14:paraId="37BBEC08">
            <w:pPr>
              <w:keepNext/>
              <w:snapToGrid w:val="0"/>
              <w:ind w:left="0" w:leftChars="0" w:right="0" w:rightChars="0" w:firstLine="0" w:firstLineChars="0"/>
              <w:jc w:val="center"/>
              <w:rPr>
                <w:rFonts w:hint="eastAsia" w:ascii="宋体" w:hAnsi="宋体" w:eastAsia="宋体" w:cs="宋体"/>
                <w:sz w:val="21"/>
                <w:szCs w:val="21"/>
                <w:lang w:val="en-US" w:eastAsia="zh-CN"/>
              </w:rPr>
            </w:pPr>
          </w:p>
        </w:tc>
        <w:tc>
          <w:tcPr>
            <w:tcW w:w="611" w:type="pct"/>
            <w:vAlign w:val="center"/>
          </w:tcPr>
          <w:p w14:paraId="3A07FBB0">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6.2 综合实操训练与考核</w:t>
            </w:r>
          </w:p>
        </w:tc>
        <w:tc>
          <w:tcPr>
            <w:tcW w:w="1249" w:type="pct"/>
            <w:vAlign w:val="center"/>
          </w:tcPr>
          <w:p w14:paraId="34615F1C">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整合前序核心技能（消毒、接种、检疫、应急处置）</w:t>
            </w:r>
          </w:p>
        </w:tc>
        <w:tc>
          <w:tcPr>
            <w:tcW w:w="1136" w:type="pct"/>
            <w:vAlign w:val="center"/>
          </w:tcPr>
          <w:p w14:paraId="76903617">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独立完成综合防疫检疫实操任务；2. 规范填写相关文书</w:t>
            </w:r>
          </w:p>
        </w:tc>
        <w:tc>
          <w:tcPr>
            <w:tcW w:w="640" w:type="pct"/>
            <w:vAlign w:val="center"/>
          </w:tcPr>
          <w:p w14:paraId="6A36D51B">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团队协作、责任担当</w:t>
            </w:r>
          </w:p>
        </w:tc>
        <w:tc>
          <w:tcPr>
            <w:tcW w:w="361" w:type="pct"/>
            <w:vAlign w:val="center"/>
          </w:tcPr>
          <w:p w14:paraId="632E5674">
            <w:pPr>
              <w:keepNext/>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bl>
    <w:p w14:paraId="42183EEB">
      <w:pPr>
        <w:pStyle w:val="3"/>
        <w:bidi w:val="0"/>
        <w:rPr>
          <w:rFonts w:hint="eastAsia"/>
          <w:lang w:val="en-US" w:eastAsia="zh-CN"/>
        </w:rPr>
      </w:pPr>
      <w:r>
        <w:rPr>
          <w:rFonts w:hint="eastAsia"/>
          <w:lang w:val="en-US" w:eastAsia="zh-CN"/>
        </w:rPr>
        <w:t>六、课程考核与评价</w:t>
      </w:r>
    </w:p>
    <w:p w14:paraId="47C4F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720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53B71D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0A4486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9AA42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302EF7D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BDA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93014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5BEE39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1092B8B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6AB90D3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1942" w:type="pct"/>
            <w:tcBorders>
              <w:left w:val="single" w:color="auto" w:sz="4" w:space="0"/>
              <w:right w:val="single" w:color="auto" w:sz="4" w:space="0"/>
            </w:tcBorders>
            <w:vAlign w:val="center"/>
          </w:tcPr>
          <w:p w14:paraId="7CBDC88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4360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01A89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126B3D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6" w:type="pct"/>
            <w:tcBorders>
              <w:left w:val="single" w:color="auto" w:sz="4" w:space="0"/>
              <w:right w:val="single" w:color="auto" w:sz="4" w:space="0"/>
            </w:tcBorders>
            <w:vAlign w:val="center"/>
          </w:tcPr>
          <w:p w14:paraId="7553104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77B6F96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4ADC147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71F9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2DE787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09FD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6" w:type="pct"/>
            <w:tcBorders>
              <w:left w:val="single" w:color="auto" w:sz="4" w:space="0"/>
              <w:right w:val="single" w:color="auto" w:sz="4" w:space="0"/>
            </w:tcBorders>
            <w:vAlign w:val="center"/>
          </w:tcPr>
          <w:p w14:paraId="01B2583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以技能操作和仪器认知方式进行</w:t>
            </w:r>
          </w:p>
        </w:tc>
        <w:tc>
          <w:tcPr>
            <w:tcW w:w="719" w:type="pct"/>
            <w:tcBorders>
              <w:left w:val="single" w:color="auto" w:sz="4" w:space="0"/>
              <w:right w:val="single" w:color="auto" w:sz="4" w:space="0"/>
            </w:tcBorders>
            <w:vAlign w:val="center"/>
          </w:tcPr>
          <w:p w14:paraId="1A0ABB0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1942" w:type="pct"/>
            <w:tcBorders>
              <w:left w:val="single" w:color="auto" w:sz="4" w:space="0"/>
              <w:right w:val="single" w:color="auto" w:sz="4" w:space="0"/>
            </w:tcBorders>
            <w:vAlign w:val="center"/>
          </w:tcPr>
          <w:p w14:paraId="2F9DE52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以学生动手能力和对主要机器认识的能力进行考核</w:t>
            </w:r>
          </w:p>
        </w:tc>
      </w:tr>
      <w:tr w14:paraId="6E71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0F0FF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6" w:type="pct"/>
            <w:tcBorders>
              <w:left w:val="single" w:color="auto" w:sz="4" w:space="0"/>
              <w:right w:val="single" w:color="auto" w:sz="4" w:space="0"/>
            </w:tcBorders>
            <w:vAlign w:val="center"/>
          </w:tcPr>
          <w:p w14:paraId="7BAA794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2C71058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65CC1A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5DD2A084">
      <w:pPr>
        <w:pStyle w:val="3"/>
        <w:bidi w:val="0"/>
        <w:rPr>
          <w:rFonts w:hint="eastAsia"/>
          <w:lang w:val="en-US" w:eastAsia="zh-CN"/>
        </w:rPr>
      </w:pPr>
      <w:r>
        <w:rPr>
          <w:rFonts w:hint="eastAsia"/>
          <w:lang w:val="en-US" w:eastAsia="zh-CN"/>
        </w:rPr>
        <w:t>七、课程实施与保障</w:t>
      </w:r>
    </w:p>
    <w:p w14:paraId="7A5715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E832B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79F23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F9033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生态文明”、“绿色环保”的课程思政价值链，结合中国科学家以及行业畜牧师的经历，将生态文明意识和绿色环保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276DD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E4BD6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6819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38D4F1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EBA66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568"/>
        <w:gridCol w:w="4051"/>
        <w:gridCol w:w="2464"/>
      </w:tblGrid>
      <w:tr w14:paraId="04E9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top"/>
          </w:tcPr>
          <w:p w14:paraId="4A2CE2C7">
            <w:pPr>
              <w:pStyle w:val="9"/>
              <w:ind w:firstLine="0" w:firstLineChars="0"/>
              <w:rPr>
                <w:rFonts w:ascii="宋体" w:hAnsi="宋体" w:cs="宋体"/>
                <w:iCs/>
                <w:sz w:val="21"/>
                <w:szCs w:val="21"/>
              </w:rPr>
            </w:pPr>
            <w:r>
              <w:rPr>
                <w:rFonts w:hint="eastAsia" w:ascii="宋体" w:hAnsi="宋体" w:cs="宋体"/>
                <w:iCs/>
                <w:sz w:val="21"/>
                <w:szCs w:val="21"/>
              </w:rPr>
              <w:t>序号</w:t>
            </w:r>
          </w:p>
        </w:tc>
        <w:tc>
          <w:tcPr>
            <w:tcW w:w="1303" w:type="pct"/>
            <w:noWrap w:val="0"/>
            <w:vAlign w:val="top"/>
          </w:tcPr>
          <w:p w14:paraId="397DEC5A">
            <w:pPr>
              <w:pStyle w:val="9"/>
              <w:ind w:firstLine="0" w:firstLineChars="0"/>
              <w:rPr>
                <w:rFonts w:ascii="宋体" w:hAnsi="宋体" w:cs="宋体"/>
                <w:iCs/>
                <w:sz w:val="21"/>
                <w:szCs w:val="21"/>
              </w:rPr>
            </w:pPr>
            <w:r>
              <w:rPr>
                <w:rFonts w:hint="eastAsia" w:ascii="宋体" w:hAnsi="宋体" w:cs="宋体"/>
                <w:iCs/>
                <w:sz w:val="21"/>
                <w:szCs w:val="21"/>
              </w:rPr>
              <w:t>名称</w:t>
            </w:r>
          </w:p>
        </w:tc>
        <w:tc>
          <w:tcPr>
            <w:tcW w:w="2055" w:type="pct"/>
            <w:noWrap w:val="0"/>
            <w:vAlign w:val="top"/>
          </w:tcPr>
          <w:p w14:paraId="7AFD4015">
            <w:pPr>
              <w:pStyle w:val="9"/>
              <w:ind w:firstLine="0" w:firstLineChars="0"/>
              <w:rPr>
                <w:rFonts w:ascii="宋体" w:hAnsi="宋体" w:cs="宋体"/>
                <w:iCs/>
                <w:sz w:val="21"/>
                <w:szCs w:val="21"/>
              </w:rPr>
            </w:pPr>
            <w:r>
              <w:rPr>
                <w:rFonts w:hint="eastAsia" w:ascii="宋体" w:hAnsi="宋体" w:cs="宋体"/>
                <w:iCs/>
                <w:sz w:val="21"/>
                <w:szCs w:val="21"/>
              </w:rPr>
              <w:t>基本配置要求</w:t>
            </w:r>
          </w:p>
        </w:tc>
        <w:tc>
          <w:tcPr>
            <w:tcW w:w="1250" w:type="pct"/>
            <w:noWrap w:val="0"/>
            <w:vAlign w:val="top"/>
          </w:tcPr>
          <w:p w14:paraId="457A0A37">
            <w:pPr>
              <w:pStyle w:val="9"/>
              <w:ind w:firstLine="0" w:firstLineChars="0"/>
              <w:rPr>
                <w:rFonts w:ascii="宋体" w:hAnsi="宋体" w:cs="宋体"/>
                <w:iCs/>
                <w:sz w:val="21"/>
                <w:szCs w:val="21"/>
              </w:rPr>
            </w:pPr>
            <w:r>
              <w:rPr>
                <w:rFonts w:hint="eastAsia" w:ascii="宋体" w:hAnsi="宋体" w:cs="宋体"/>
                <w:iCs/>
                <w:sz w:val="21"/>
                <w:szCs w:val="21"/>
              </w:rPr>
              <w:t>功能说明</w:t>
            </w:r>
          </w:p>
        </w:tc>
      </w:tr>
      <w:tr w14:paraId="0492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569B587E">
            <w:pPr>
              <w:pStyle w:val="9"/>
              <w:ind w:firstLine="0" w:firstLineChars="0"/>
              <w:rPr>
                <w:rFonts w:ascii="宋体" w:hAnsi="宋体" w:cs="宋体"/>
                <w:iCs/>
                <w:sz w:val="21"/>
                <w:szCs w:val="21"/>
              </w:rPr>
            </w:pPr>
            <w:r>
              <w:rPr>
                <w:rFonts w:hint="eastAsia" w:ascii="宋体" w:hAnsi="宋体" w:cs="宋体"/>
                <w:iCs/>
                <w:sz w:val="21"/>
                <w:szCs w:val="21"/>
              </w:rPr>
              <w:t>1</w:t>
            </w:r>
          </w:p>
        </w:tc>
        <w:tc>
          <w:tcPr>
            <w:tcW w:w="1303" w:type="pct"/>
            <w:noWrap w:val="0"/>
            <w:vAlign w:val="center"/>
          </w:tcPr>
          <w:p w14:paraId="142FE41A">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55" w:type="pct"/>
            <w:noWrap w:val="0"/>
            <w:vAlign w:val="center"/>
          </w:tcPr>
          <w:p w14:paraId="5120ACAD">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50" w:type="pct"/>
            <w:noWrap w:val="0"/>
            <w:vAlign w:val="center"/>
          </w:tcPr>
          <w:p w14:paraId="35B0BAD0">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5641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14:paraId="6FB530D8">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03" w:type="pct"/>
            <w:noWrap w:val="0"/>
            <w:vAlign w:val="center"/>
          </w:tcPr>
          <w:p w14:paraId="584A0F3B">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微生物实训室</w:t>
            </w:r>
          </w:p>
        </w:tc>
        <w:tc>
          <w:tcPr>
            <w:tcW w:w="2055" w:type="pct"/>
            <w:noWrap w:val="0"/>
            <w:vAlign w:val="center"/>
          </w:tcPr>
          <w:p w14:paraId="70051BD5">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显微镜</w:t>
            </w:r>
          </w:p>
        </w:tc>
        <w:tc>
          <w:tcPr>
            <w:tcW w:w="1250" w:type="pct"/>
            <w:noWrap w:val="0"/>
            <w:vAlign w:val="center"/>
          </w:tcPr>
          <w:p w14:paraId="4B95827E">
            <w:pPr>
              <w:pStyle w:val="9"/>
              <w:ind w:firstLine="0" w:firstLineChars="0"/>
              <w:rPr>
                <w:rFonts w:hint="default" w:ascii="宋体" w:hAnsi="宋体" w:eastAsia="宋体" w:cs="宋体"/>
                <w:iCs/>
                <w:sz w:val="21"/>
                <w:szCs w:val="21"/>
                <w:lang w:val="en-US" w:eastAsia="zh-CN"/>
              </w:rPr>
            </w:pPr>
            <w:r>
              <w:rPr>
                <w:rFonts w:hint="eastAsia" w:ascii="宋体" w:hAnsi="宋体" w:cs="宋体"/>
                <w:iCs/>
                <w:sz w:val="21"/>
                <w:szCs w:val="21"/>
                <w:lang w:val="en-US" w:eastAsia="zh-CN"/>
              </w:rPr>
              <w:t>检查病原微生物</w:t>
            </w:r>
          </w:p>
        </w:tc>
      </w:tr>
    </w:tbl>
    <w:p w14:paraId="747F36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1877C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06A324C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p w14:paraId="02379286">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36AF9398">
      <w:pPr>
        <w:pStyle w:val="2"/>
        <w:bidi w:val="0"/>
        <w:rPr>
          <w:rFonts w:hint="eastAsia"/>
          <w:lang w:val="en-US" w:eastAsia="zh-CN"/>
        </w:rPr>
      </w:pPr>
      <w:bookmarkStart w:id="52" w:name="_Toc14133"/>
      <w:bookmarkStart w:id="53" w:name="_Toc25043"/>
      <w:r>
        <w:rPr>
          <w:rFonts w:hint="eastAsia"/>
          <w:lang w:val="en-US" w:eastAsia="zh-CN"/>
        </w:rPr>
        <w:t>《动物外科与产科》课程标准</w:t>
      </w:r>
      <w:bookmarkEnd w:id="52"/>
      <w:bookmarkEnd w:id="53"/>
    </w:p>
    <w:p w14:paraId="39F8DA4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1D2E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88FD11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7D81731">
            <w:pPr>
              <w:jc w:val="center"/>
              <w:rPr>
                <w:rFonts w:hint="default" w:ascii="宋体" w:hAnsi="宋体" w:eastAsia="宋体"/>
                <w:color w:val="auto"/>
                <w:sz w:val="21"/>
                <w:szCs w:val="21"/>
                <w:lang w:val="en-US" w:eastAsia="zh-CN"/>
              </w:rPr>
            </w:pPr>
            <w:r>
              <w:rPr>
                <w:rFonts w:hint="eastAsia" w:eastAsiaTheme="minorEastAsia"/>
                <w:sz w:val="21"/>
                <w:szCs w:val="21"/>
                <w:lang w:val="en-US" w:eastAsia="zh-CN"/>
              </w:rPr>
              <w:t>动物外科与产科</w:t>
            </w:r>
          </w:p>
        </w:tc>
        <w:tc>
          <w:tcPr>
            <w:tcW w:w="975" w:type="dxa"/>
            <w:tcBorders>
              <w:top w:val="single" w:color="auto" w:sz="4" w:space="0"/>
              <w:left w:val="single" w:color="auto" w:sz="4" w:space="0"/>
              <w:bottom w:val="single" w:color="auto" w:sz="4" w:space="0"/>
              <w:right w:val="single" w:color="auto" w:sz="4" w:space="0"/>
            </w:tcBorders>
            <w:vAlign w:val="center"/>
          </w:tcPr>
          <w:p w14:paraId="6977006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E2EDF9F">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Theme="minorEastAsia" w:hAnsiTheme="minorEastAsia" w:cstheme="minorEastAsia"/>
                <w:b w:val="0"/>
                <w:bCs w:val="0"/>
                <w:color w:val="auto"/>
                <w:sz w:val="21"/>
                <w:szCs w:val="21"/>
                <w:lang w:val="en-US" w:eastAsia="zh-CN"/>
              </w:rPr>
              <w:t>xcxm24015</w:t>
            </w:r>
          </w:p>
        </w:tc>
      </w:tr>
      <w:tr w14:paraId="1F1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786E5A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A3023C2">
            <w:pPr>
              <w:jc w:val="center"/>
              <w:rPr>
                <w:rFonts w:hint="default" w:eastAsiaTheme="minorEastAsia"/>
                <w:sz w:val="21"/>
                <w:szCs w:val="21"/>
                <w:lang w:val="en-US" w:eastAsia="zh-CN"/>
              </w:rPr>
            </w:pPr>
            <w:r>
              <w:rPr>
                <w:rFonts w:hint="eastAsia"/>
                <w:sz w:val="21"/>
                <w:szCs w:val="21"/>
                <w:lang w:val="en-US" w:eastAsia="zh-CN"/>
              </w:rPr>
              <w:t>42学时</w:t>
            </w:r>
          </w:p>
        </w:tc>
        <w:tc>
          <w:tcPr>
            <w:tcW w:w="1595" w:type="dxa"/>
            <w:tcBorders>
              <w:top w:val="single" w:color="auto" w:sz="4" w:space="0"/>
              <w:left w:val="single" w:color="auto" w:sz="4" w:space="0"/>
              <w:bottom w:val="single" w:color="auto" w:sz="4" w:space="0"/>
              <w:right w:val="single" w:color="auto" w:sz="4" w:space="0"/>
            </w:tcBorders>
          </w:tcPr>
          <w:p w14:paraId="5A274A18">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3D9406F">
            <w:pPr>
              <w:jc w:val="center"/>
              <w:rPr>
                <w:rFonts w:hint="eastAsia"/>
                <w:sz w:val="21"/>
                <w:szCs w:val="21"/>
                <w:lang w:val="en-US" w:eastAsia="zh-CN"/>
              </w:rPr>
            </w:pPr>
            <w:r>
              <w:rPr>
                <w:rFonts w:hint="eastAsia"/>
                <w:sz w:val="21"/>
                <w:szCs w:val="21"/>
                <w:lang w:val="en-US" w:eastAsia="zh-CN"/>
              </w:rPr>
              <w:t>20学时</w:t>
            </w:r>
          </w:p>
        </w:tc>
        <w:tc>
          <w:tcPr>
            <w:tcW w:w="975" w:type="dxa"/>
            <w:tcBorders>
              <w:top w:val="single" w:color="auto" w:sz="4" w:space="0"/>
              <w:left w:val="single" w:color="auto" w:sz="4" w:space="0"/>
              <w:bottom w:val="single" w:color="auto" w:sz="4" w:space="0"/>
              <w:right w:val="single" w:color="auto" w:sz="4" w:space="0"/>
            </w:tcBorders>
            <w:vAlign w:val="center"/>
          </w:tcPr>
          <w:p w14:paraId="160FE5A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16D93B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515A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6339E97">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64CA4EF">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4FAB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2D64CED">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B05CB0B">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7CC809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E9CC26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6AC5B05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A65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EA7A78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B3489BB">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动物解剖生理、动物遗传繁育、动物病理学、兽医药理学</w:t>
            </w:r>
          </w:p>
        </w:tc>
      </w:tr>
      <w:tr w14:paraId="4B1A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950160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7D3FB74">
            <w:pPr>
              <w:pStyle w:val="16"/>
              <w:spacing w:before="0" w:beforeAutospacing="0" w:after="0" w:afterAutospacing="0"/>
              <w:ind w:left="-105" w:leftChars="-50" w:right="-105" w:rightChars="-50"/>
              <w:jc w:val="both"/>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动物疫病防治、动物临床诊疗技术、岗位实习</w:t>
            </w:r>
          </w:p>
        </w:tc>
      </w:tr>
      <w:tr w14:paraId="32E9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3F3C184">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9BDC760">
            <w:pPr>
              <w:pStyle w:val="16"/>
              <w:spacing w:before="0" w:beforeAutospacing="0" w:after="0" w:afterAutospacing="0"/>
              <w:ind w:left="-105" w:leftChars="-50" w:right="-105" w:rightChars="-50"/>
              <w:jc w:val="left"/>
              <w:rPr>
                <w:rFonts w:ascii="Arial" w:hAnsi="Arial" w:eastAsia="宋体" w:cs="Arial"/>
                <w:kern w:val="2"/>
                <w:sz w:val="21"/>
                <w:szCs w:val="21"/>
                <w:lang w:val="en-US" w:eastAsia="zh-CN" w:bidi="ar-SA"/>
              </w:rPr>
            </w:pPr>
            <w:r>
              <w:rPr>
                <w:rFonts w:hint="eastAsia" w:ascii="Arial" w:hAnsi="Arial" w:eastAsia="宋体" w:cs="Arial"/>
                <w:color w:val="auto"/>
                <w:sz w:val="21"/>
                <w:szCs w:val="21"/>
                <w:lang w:val="en-US" w:eastAsia="zh-CN"/>
              </w:rPr>
              <w:t>《动物外科与产科》（吴秋敏，中国农业出版社，2018 年出版，ISBN 978-7-109-23928-9）</w:t>
            </w:r>
          </w:p>
        </w:tc>
      </w:tr>
      <w:tr w14:paraId="49BA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C7355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D765DBA">
            <w:pPr>
              <w:widowControl/>
              <w:jc w:val="left"/>
              <w:rPr>
                <w:rFonts w:hint="eastAsia" w:eastAsiaTheme="minorEastAsia"/>
                <w:sz w:val="21"/>
                <w:szCs w:val="21"/>
                <w:lang w:val="en-US" w:eastAsia="zh-CN"/>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05D7DCE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EA7224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15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7C1E94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80B6921">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887DED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A8B808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94396C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C68D63F">
      <w:pPr>
        <w:pStyle w:val="3"/>
        <w:bidi w:val="0"/>
        <w:rPr>
          <w:rFonts w:hint="eastAsia"/>
          <w:lang w:val="en-US" w:eastAsia="zh-CN"/>
        </w:rPr>
      </w:pPr>
      <w:r>
        <w:rPr>
          <w:rFonts w:hint="eastAsia"/>
          <w:lang w:val="en-US" w:eastAsia="zh-CN"/>
        </w:rPr>
        <w:t>二、课程定位</w:t>
      </w:r>
    </w:p>
    <w:p w14:paraId="2C65C5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必修的一门专业选修课程，是在动物解剖生理、动物遗传繁育、动物病理学、兽医药理学基础上开设的一门理论+实践的课程，对接专业人才培养目标，面向宠物医师助理、规模化养殖场兽医、动物疫病防控技术员工作岗位，培养学生具备专业的兽医职业素质，具备动物外科手术基本技能、产科疾病诊断与处理方法能力，为后续动物疫病防治、动物临床诊疗技术、岗位实习课程学习奠定基础的课程。同时，将课程思政内容融入课程核心内容体系，帮助学生树立正确的世界观、人生观、价值观。</w:t>
      </w:r>
    </w:p>
    <w:p w14:paraId="324194E6">
      <w:pPr>
        <w:pStyle w:val="3"/>
        <w:bidi w:val="0"/>
        <w:rPr>
          <w:rFonts w:hint="eastAsia"/>
          <w:lang w:val="en-US" w:eastAsia="zh-CN"/>
        </w:rPr>
      </w:pPr>
      <w:r>
        <w:rPr>
          <w:rFonts w:hint="eastAsia"/>
          <w:lang w:val="en-US" w:eastAsia="zh-CN"/>
        </w:rPr>
        <w:t>三、课程设计思路</w:t>
      </w:r>
    </w:p>
    <w:p w14:paraId="74E5A3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本课程遵循 “岗课赛证” 融合、理实一体化 的设计理念，以动物临床岗位实际需求为导向，将行业标准和岗位技能要求融入课程内容。</w:t>
      </w:r>
    </w:p>
    <w:p w14:paraId="397159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打破传统 “理论 + 实验” 的分离式教学模式，采用 “学习情境 - 工作任务 - 知识点 - 技能点” 的模块化结构，每个学习情境对应一个临床工作领域，每个工作任务对应一项岗位核心技能。</w:t>
      </w:r>
    </w:p>
    <w:p w14:paraId="4708D3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理论教学以 “必需、够用” 为原则，重点讲解外科手术原理、产科疾病发病机制及诊疗规范；实践教学以 “操作为主”，通过仿真模拟、动物实操、病例分析等方式，强化学生动手能力和临床思维。</w:t>
      </w:r>
    </w:p>
    <w:p w14:paraId="773D8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挖掘课程中的思政元素，将职业道德、动物福利、科学严谨精神等融入教学全过程，实现 “知识传授、技能培养、价值塑造” 三位一体的教学目标。</w:t>
      </w:r>
    </w:p>
    <w:p w14:paraId="5A7F2433">
      <w:pPr>
        <w:pStyle w:val="3"/>
        <w:bidi w:val="0"/>
        <w:rPr>
          <w:rFonts w:hint="eastAsia"/>
          <w:lang w:val="en-US" w:eastAsia="zh-CN"/>
        </w:rPr>
      </w:pPr>
      <w:r>
        <w:rPr>
          <w:rFonts w:hint="eastAsia"/>
          <w:lang w:val="en-US" w:eastAsia="zh-CN"/>
        </w:rPr>
        <w:t>四、课程目标</w:t>
      </w:r>
    </w:p>
    <w:p w14:paraId="590743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2458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掌握动物外科手术的基本概念、无菌术操作规范、麻醉的分类及常用麻醉药物的使用方法。</w:t>
      </w:r>
    </w:p>
    <w:p w14:paraId="6BF82D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熟悉动物常见外科手术（如清创缝合术、疝修补术、胃肠切开术等）的适应症、操作流程及术后护理要点。</w:t>
      </w:r>
    </w:p>
    <w:p w14:paraId="1B69DD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掌握动物生殖系统解剖生理特点，理解动物妊娠诊断、分娩助产的基本原理和方法。</w:t>
      </w:r>
    </w:p>
    <w:p w14:paraId="72306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熟悉动物常见产科疾病（如难产、子宫炎、乳房炎等）的病因、临床症状、诊断标准及治疗方案。</w:t>
      </w:r>
    </w:p>
    <w:p w14:paraId="2B9B27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了解动物外科与产科常用器械的种类、消毒方法及使用规范</w:t>
      </w:r>
    </w:p>
    <w:p w14:paraId="0B9883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1A329F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能够独立完成动物外科手术器械的清洗、消毒、灭菌及手术台的准备工作。</w:t>
      </w:r>
    </w:p>
    <w:p w14:paraId="6720BA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能够熟练进行动物局部麻醉、全身麻醉的操作，并能监测麻醉过程中动物的生命体征。</w:t>
      </w:r>
    </w:p>
    <w:p w14:paraId="1AAADF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能够完成动物常见外科小手术（如皮肤清创缝合、脓肿切开引流等）的实操操作。</w:t>
      </w:r>
    </w:p>
    <w:p w14:paraId="678B83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能够运用临床检查方法对动物产科疾病进行初步诊断，并制定合理的治疗和护理方案。</w:t>
      </w:r>
    </w:p>
    <w:p w14:paraId="33BDB7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能够规范进行动物正常分娩的助产操作，处理常见的难产类型（如胎儿过大、胎位不正等）。</w:t>
      </w:r>
    </w:p>
    <w:p w14:paraId="253BB8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具备分析和解决动物外科与产科临床常见问题的初步能力，能够撰写完整的诊疗病历。</w:t>
      </w:r>
    </w:p>
    <w:p w14:paraId="5CE45F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DDD33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1.养成严谨细致的工作作风和科学求实的专业态度，严格遵守兽医临床操作规范。</w:t>
      </w:r>
    </w:p>
    <w:p w14:paraId="3E64BF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树立尊重生命、关爱动物的职业理念，践行动物福利相关要求，减少动物诊疗过程中的痛苦。</w:t>
      </w:r>
    </w:p>
    <w:p w14:paraId="71944C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具备良好的团队协作能力，能够在诊疗团队中完成分工协作任务。</w:t>
      </w:r>
    </w:p>
    <w:p w14:paraId="0B9293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具有自主学习和终身学习的意识，能够关注动物外科与产科领域的新技术、新方法。</w:t>
      </w:r>
    </w:p>
    <w:p w14:paraId="337632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56B9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1.强化职业道德教育，培养学生诚实守信、恪尽职守的职业操守，杜绝滥用兽药、违规操作等行为。</w:t>
      </w:r>
    </w:p>
    <w:p w14:paraId="7D5570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2.渗透法治教育，引导学生遵守《中华人民共和国动物防疫法》《兽药管理条例》等相关法律法规。</w:t>
      </w:r>
    </w:p>
    <w:p w14:paraId="6F8597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3.弘扬 “大国工匠” 精神，培养学生精益求精、追求卓越的专业品质，提升岗位责任意识。</w:t>
      </w:r>
    </w:p>
    <w:p w14:paraId="6C36C8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4.树立生态保护理念，引导学生认识动物健康与公共卫生安全、生态平衡的密切关系，增强社会责任感。</w:t>
      </w:r>
    </w:p>
    <w:p w14:paraId="0506BEC6">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322"/>
        <w:gridCol w:w="2190"/>
        <w:gridCol w:w="2320"/>
        <w:gridCol w:w="1626"/>
        <w:gridCol w:w="719"/>
      </w:tblGrid>
      <w:tr w14:paraId="2262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8" w:type="pct"/>
            <w:vAlign w:val="center"/>
          </w:tcPr>
          <w:p w14:paraId="6F69C5D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6CBD0B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671" w:type="pct"/>
            <w:vAlign w:val="center"/>
          </w:tcPr>
          <w:p w14:paraId="248336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57DE5FD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111" w:type="pct"/>
            <w:vAlign w:val="center"/>
          </w:tcPr>
          <w:p w14:paraId="64370A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177" w:type="pct"/>
            <w:vAlign w:val="center"/>
          </w:tcPr>
          <w:p w14:paraId="16D8BF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25" w:type="pct"/>
            <w:vAlign w:val="center"/>
          </w:tcPr>
          <w:p w14:paraId="4A2AC9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65" w:type="pct"/>
            <w:vAlign w:val="center"/>
          </w:tcPr>
          <w:p w14:paraId="41BC24E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CEB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7FE6B0F1">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情境一：动物外科手术基础（6 课时）</w:t>
            </w:r>
          </w:p>
        </w:tc>
        <w:tc>
          <w:tcPr>
            <w:tcW w:w="671" w:type="pct"/>
            <w:vAlign w:val="center"/>
          </w:tcPr>
          <w:p w14:paraId="70880B0D">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1：外科无菌术操作</w:t>
            </w:r>
          </w:p>
        </w:tc>
        <w:tc>
          <w:tcPr>
            <w:tcW w:w="1111" w:type="pct"/>
            <w:vAlign w:val="center"/>
          </w:tcPr>
          <w:p w14:paraId="3B43F6C3">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无菌术的概念、分类；2. 器械、敷料、手术部位的消毒灭菌方法；3. 手术人员的无菌准备要求</w:t>
            </w:r>
          </w:p>
        </w:tc>
        <w:tc>
          <w:tcPr>
            <w:tcW w:w="1177" w:type="pct"/>
            <w:vAlign w:val="center"/>
          </w:tcPr>
          <w:p w14:paraId="4FA33934">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手术器械的清洗、打包与高压蒸汽灭菌操作；2. 手术部位的剃毛、消毒、隔离操作；. 手术人员的洗手、戴手套、穿手术衣操作</w:t>
            </w:r>
          </w:p>
        </w:tc>
        <w:tc>
          <w:tcPr>
            <w:tcW w:w="825" w:type="pct"/>
            <w:vAlign w:val="center"/>
          </w:tcPr>
          <w:p w14:paraId="0EBA2B5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科学严谨的工作态度； 无菌操作的职业规范意识</w:t>
            </w:r>
          </w:p>
        </w:tc>
        <w:tc>
          <w:tcPr>
            <w:tcW w:w="365" w:type="pct"/>
            <w:vAlign w:val="center"/>
          </w:tcPr>
          <w:p w14:paraId="6953C8F3">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550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14F2D06D">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2901824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2：动物麻醉技术</w:t>
            </w:r>
          </w:p>
        </w:tc>
        <w:tc>
          <w:tcPr>
            <w:tcW w:w="1111" w:type="pct"/>
            <w:vAlign w:val="center"/>
          </w:tcPr>
          <w:p w14:paraId="282C5CFC">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麻醉的分类（局部 / 全身麻醉）；2. 常用麻醉药物的作用特点与剂量计算；3. 麻醉前准备与麻醉并发症的防治</w:t>
            </w:r>
          </w:p>
        </w:tc>
        <w:tc>
          <w:tcPr>
            <w:tcW w:w="1177" w:type="pct"/>
            <w:vAlign w:val="center"/>
          </w:tcPr>
          <w:p w14:paraId="7EB5FC3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局部浸润麻醉、传导麻醉的操作； 全身麻醉药物的注射与麻醉深度监测；3. 麻醉意外的初步急救</w:t>
            </w:r>
          </w:p>
        </w:tc>
        <w:tc>
          <w:tcPr>
            <w:tcW w:w="825" w:type="pct"/>
            <w:vAlign w:val="center"/>
          </w:tcPr>
          <w:p w14:paraId="4C68D14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责任意识与风险防控能力；2. 关爱动物的职业伦理</w:t>
            </w:r>
          </w:p>
        </w:tc>
        <w:tc>
          <w:tcPr>
            <w:tcW w:w="365" w:type="pct"/>
            <w:vAlign w:val="center"/>
          </w:tcPr>
          <w:p w14:paraId="75FE033A">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896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3CCE50C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情境二：动物外科基本手术（8 课时）</w:t>
            </w:r>
          </w:p>
        </w:tc>
        <w:tc>
          <w:tcPr>
            <w:tcW w:w="671" w:type="pct"/>
            <w:vAlign w:val="center"/>
          </w:tcPr>
          <w:p w14:paraId="587D9CB3">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1：皮肤损伤清创缝合术</w:t>
            </w:r>
          </w:p>
        </w:tc>
        <w:tc>
          <w:tcPr>
            <w:tcW w:w="1111" w:type="pct"/>
            <w:vAlign w:val="center"/>
          </w:tcPr>
          <w:p w14:paraId="02E1A173">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创伤的分类与愈合机制； 清创术的适应症与操作原则；3. 缝合材料的选择与缝合方法分类</w:t>
            </w:r>
          </w:p>
        </w:tc>
        <w:tc>
          <w:tcPr>
            <w:tcW w:w="1177" w:type="pct"/>
            <w:vAlign w:val="center"/>
          </w:tcPr>
          <w:p w14:paraId="204B800D">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创伤的清洗、消毒、清创操作； 结节缝合、连续缝合的实操；3. 术后伤口的包扎与护理</w:t>
            </w:r>
          </w:p>
        </w:tc>
        <w:tc>
          <w:tcPr>
            <w:tcW w:w="825" w:type="pct"/>
            <w:vAlign w:val="center"/>
          </w:tcPr>
          <w:p w14:paraId="7A85CBD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精益求精的操作精神； 动物疼痛管理的福利意识</w:t>
            </w:r>
          </w:p>
        </w:tc>
        <w:tc>
          <w:tcPr>
            <w:tcW w:w="365" w:type="pct"/>
            <w:vAlign w:val="center"/>
          </w:tcPr>
          <w:p w14:paraId="47D92747">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55C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7449C286">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768A017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2：脓肿与疝的外科处理</w:t>
            </w:r>
          </w:p>
        </w:tc>
        <w:tc>
          <w:tcPr>
            <w:tcW w:w="1111" w:type="pct"/>
            <w:vAlign w:val="center"/>
          </w:tcPr>
          <w:p w14:paraId="7A94436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脓肿的形成原因与诊断；2. 脓肿切开引流的操作要点；3. 疝的分类与修补术原理</w:t>
            </w:r>
          </w:p>
        </w:tc>
        <w:tc>
          <w:tcPr>
            <w:tcW w:w="1177" w:type="pct"/>
            <w:vAlign w:val="center"/>
          </w:tcPr>
          <w:p w14:paraId="38F592A2">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脓肿定位与切开引流操作； 腹壁疝的探查与缝合修补操作；3. 术后感染的预防与处理</w:t>
            </w:r>
          </w:p>
        </w:tc>
        <w:tc>
          <w:tcPr>
            <w:tcW w:w="825" w:type="pct"/>
            <w:vAlign w:val="center"/>
          </w:tcPr>
          <w:p w14:paraId="6E56F35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问题导向的临床思维；2. 严谨负责的诊疗态度</w:t>
            </w:r>
          </w:p>
        </w:tc>
        <w:tc>
          <w:tcPr>
            <w:tcW w:w="365" w:type="pct"/>
            <w:vAlign w:val="center"/>
          </w:tcPr>
          <w:p w14:paraId="4B4FC553">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030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0F0952C0">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443EE031">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3：常见软组织手术（选做）</w:t>
            </w:r>
          </w:p>
        </w:tc>
        <w:tc>
          <w:tcPr>
            <w:tcW w:w="1111" w:type="pct"/>
            <w:vAlign w:val="center"/>
          </w:tcPr>
          <w:p w14:paraId="1E083340">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脂肪瘤、皮脂腺囊肿切除术的适应症；. 手术止血的方法（压迫 / 结扎止血）</w:t>
            </w:r>
          </w:p>
        </w:tc>
        <w:tc>
          <w:tcPr>
            <w:tcW w:w="1177" w:type="pct"/>
            <w:vAlign w:val="center"/>
          </w:tcPr>
          <w:p w14:paraId="42F2E53C">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局部止血操作；2. 浅表肿物的切除与缝合操作</w:t>
            </w:r>
          </w:p>
        </w:tc>
        <w:tc>
          <w:tcPr>
            <w:tcW w:w="825" w:type="pct"/>
            <w:vAlign w:val="center"/>
          </w:tcPr>
          <w:p w14:paraId="3A3AC55E">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规范操作的职业习惯；2. 团队协作能力</w:t>
            </w:r>
          </w:p>
        </w:tc>
        <w:tc>
          <w:tcPr>
            <w:tcW w:w="365" w:type="pct"/>
            <w:vAlign w:val="center"/>
          </w:tcPr>
          <w:p w14:paraId="4DCAC9D0">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A91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34F18C46">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情境三：动物腹部外科手术（8 课时）</w:t>
            </w:r>
          </w:p>
        </w:tc>
        <w:tc>
          <w:tcPr>
            <w:tcW w:w="671" w:type="pct"/>
            <w:vAlign w:val="center"/>
          </w:tcPr>
          <w:p w14:paraId="6A73D155">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1：胃肠切开术</w:t>
            </w:r>
          </w:p>
        </w:tc>
        <w:tc>
          <w:tcPr>
            <w:tcW w:w="1111" w:type="pct"/>
            <w:vAlign w:val="center"/>
          </w:tcPr>
          <w:p w14:paraId="174BA7B9">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胃肠梗阻的病因与诊断；. 胃肠切开术的手术通路与操作流程；3. 术后胃肠功能恢复的护理要点</w:t>
            </w:r>
          </w:p>
        </w:tc>
        <w:tc>
          <w:tcPr>
            <w:tcW w:w="1177" w:type="pct"/>
            <w:vAlign w:val="center"/>
          </w:tcPr>
          <w:p w14:paraId="013CE4B9">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腹部手术切口的选择与切开操作；2. 胃肠壁切开、异物取出、缝合操作； 腹腔探查与闭合操作</w:t>
            </w:r>
          </w:p>
        </w:tc>
        <w:tc>
          <w:tcPr>
            <w:tcW w:w="825" w:type="pct"/>
            <w:vAlign w:val="center"/>
          </w:tcPr>
          <w:p w14:paraId="2F114820">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整体观念的临床思维；2. 手术安全与风险防控意识</w:t>
            </w:r>
          </w:p>
        </w:tc>
        <w:tc>
          <w:tcPr>
            <w:tcW w:w="365" w:type="pct"/>
            <w:vAlign w:val="center"/>
          </w:tcPr>
          <w:p w14:paraId="185C28DB">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ABE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043035E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59DBBB8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2：膀胱切开取石术</w:t>
            </w:r>
          </w:p>
        </w:tc>
        <w:tc>
          <w:tcPr>
            <w:tcW w:w="1111" w:type="pct"/>
            <w:vAlign w:val="center"/>
          </w:tcPr>
          <w:p w14:paraId="527D6C4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膀胱结石的形成原因与临床症状；&gt;2. 膀胱切开术的适应症与注意事项</w:t>
            </w:r>
          </w:p>
        </w:tc>
        <w:tc>
          <w:tcPr>
            <w:tcW w:w="1177" w:type="pct"/>
            <w:vAlign w:val="center"/>
          </w:tcPr>
          <w:p w14:paraId="50E5E39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膀胱的暴露与固定操作；2. 结石取出与膀胱壁缝合操作；. 术后导尿管的留置与护理</w:t>
            </w:r>
          </w:p>
        </w:tc>
        <w:tc>
          <w:tcPr>
            <w:tcW w:w="825" w:type="pct"/>
            <w:vAlign w:val="center"/>
          </w:tcPr>
          <w:p w14:paraId="1394DF22">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精准操作的工匠精神； 术后护理的责任意识</w:t>
            </w:r>
          </w:p>
        </w:tc>
        <w:tc>
          <w:tcPr>
            <w:tcW w:w="365" w:type="pct"/>
            <w:vAlign w:val="center"/>
          </w:tcPr>
          <w:p w14:paraId="4D92A22B">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520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2F34B03F">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情境四：动物产科基础（6 课时）</w:t>
            </w:r>
          </w:p>
        </w:tc>
        <w:tc>
          <w:tcPr>
            <w:tcW w:w="671" w:type="pct"/>
            <w:vAlign w:val="center"/>
          </w:tcPr>
          <w:p w14:paraId="5B283FF2">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1：动物妊娠诊断技术</w:t>
            </w:r>
          </w:p>
        </w:tc>
        <w:tc>
          <w:tcPr>
            <w:tcW w:w="1111" w:type="pct"/>
            <w:vAlign w:val="center"/>
          </w:tcPr>
          <w:p w14:paraId="4654847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动物发情周期与排卵规律；. 妊娠诊断的方法（外部观察 / 直肠检查 / B 超诊断）；3. 妊娠期的饲养管理要点</w:t>
            </w:r>
          </w:p>
        </w:tc>
        <w:tc>
          <w:tcPr>
            <w:tcW w:w="1177" w:type="pct"/>
            <w:vAlign w:val="center"/>
          </w:tcPr>
          <w:p w14:paraId="66B4222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牛 / 羊直肠检查妊娠诊断操作；2. 犬 / 猫 B 超妊娠诊断的图像识别；3. 妊娠期预产期的推算</w:t>
            </w:r>
          </w:p>
        </w:tc>
        <w:tc>
          <w:tcPr>
            <w:tcW w:w="825" w:type="pct"/>
            <w:vAlign w:val="center"/>
          </w:tcPr>
          <w:p w14:paraId="7804E6A4">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科学养殖的理念； 严谨细致的观察能力</w:t>
            </w:r>
          </w:p>
        </w:tc>
        <w:tc>
          <w:tcPr>
            <w:tcW w:w="365" w:type="pct"/>
            <w:vAlign w:val="center"/>
          </w:tcPr>
          <w:p w14:paraId="5078DD02">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69A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29FACC33">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51656D9E">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2：动物正常分娩助产</w:t>
            </w:r>
          </w:p>
        </w:tc>
        <w:tc>
          <w:tcPr>
            <w:tcW w:w="1111" w:type="pct"/>
            <w:vAlign w:val="center"/>
          </w:tcPr>
          <w:p w14:paraId="3BDFCF32">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分娩的三个阶段（开口期 / 胎儿产出期 / 胎衣排出期）； 助产的适应症与准备工作；. 胎衣不下的预防与处理</w:t>
            </w:r>
          </w:p>
        </w:tc>
        <w:tc>
          <w:tcPr>
            <w:tcW w:w="1177" w:type="pct"/>
            <w:vAlign w:val="center"/>
          </w:tcPr>
          <w:p w14:paraId="04BFCC09">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分娩过程的观察与监护；2. 正常分娩的牵引助产操作；3. 胎衣的剥离与处理</w:t>
            </w:r>
          </w:p>
        </w:tc>
        <w:tc>
          <w:tcPr>
            <w:tcW w:w="825" w:type="pct"/>
            <w:vAlign w:val="center"/>
          </w:tcPr>
          <w:p w14:paraId="69C300DF">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关爱母仔的职业伦理；2. 应急处理的责任意识</w:t>
            </w:r>
          </w:p>
        </w:tc>
        <w:tc>
          <w:tcPr>
            <w:tcW w:w="365" w:type="pct"/>
            <w:vAlign w:val="center"/>
          </w:tcPr>
          <w:p w14:paraId="61DDA2E9">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586A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04FA6F1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情境五：动物难产与产科疾病诊疗（8 课时）</w:t>
            </w:r>
          </w:p>
        </w:tc>
        <w:tc>
          <w:tcPr>
            <w:tcW w:w="671" w:type="pct"/>
            <w:vAlign w:val="center"/>
          </w:tcPr>
          <w:p w14:paraId="4F55F15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1：动物难产的诊断与处理</w:t>
            </w:r>
          </w:p>
        </w:tc>
        <w:tc>
          <w:tcPr>
            <w:tcW w:w="1111" w:type="pct"/>
            <w:vAlign w:val="center"/>
          </w:tcPr>
          <w:p w14:paraId="74FF74EF">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难产的分类（母体性 / 胎儿性难产）；2. 难产的临床检查方法；3. 难产的助产原则与手术助产方法</w:t>
            </w:r>
          </w:p>
        </w:tc>
        <w:tc>
          <w:tcPr>
            <w:tcW w:w="1177" w:type="pct"/>
            <w:vAlign w:val="center"/>
          </w:tcPr>
          <w:p w14:paraId="64DFC8AD">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难产类型的判断；2. 胎儿矫正、牵引助产操作；3. 剖腹产手术的术前准备与基本操作</w:t>
            </w:r>
          </w:p>
        </w:tc>
        <w:tc>
          <w:tcPr>
            <w:tcW w:w="825" w:type="pct"/>
            <w:vAlign w:val="center"/>
          </w:tcPr>
          <w:p w14:paraId="1E240621">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生命至上的职业理念；2. 科学决策的临床思维</w:t>
            </w:r>
          </w:p>
        </w:tc>
        <w:tc>
          <w:tcPr>
            <w:tcW w:w="365" w:type="pct"/>
            <w:vAlign w:val="center"/>
          </w:tcPr>
          <w:p w14:paraId="2E8720C4">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098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7B5CAA19">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0EBADEB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2：常见产科疾病诊疗</w:t>
            </w:r>
          </w:p>
        </w:tc>
        <w:tc>
          <w:tcPr>
            <w:tcW w:w="1111" w:type="pct"/>
            <w:vAlign w:val="center"/>
          </w:tcPr>
          <w:p w14:paraId="0A19C14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子宫炎、乳房炎的病因与临床症状；2. 产后瘫痪的发病机制与治疗；3. 产科疾病的预防措施</w:t>
            </w:r>
          </w:p>
        </w:tc>
        <w:tc>
          <w:tcPr>
            <w:tcW w:w="1177" w:type="pct"/>
            <w:vAlign w:val="center"/>
          </w:tcPr>
          <w:p w14:paraId="1DD7F912">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子宫灌注、乳房按摩与药物注射操作；. 产后瘫痪的补钙治疗操作；3. 产科疾病诊疗病历的撰写</w:t>
            </w:r>
          </w:p>
        </w:tc>
        <w:tc>
          <w:tcPr>
            <w:tcW w:w="825" w:type="pct"/>
            <w:vAlign w:val="center"/>
          </w:tcPr>
          <w:p w14:paraId="70F4D8FE">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预防为主的兽医理念；. 遵规用药的法治意识</w:t>
            </w:r>
          </w:p>
        </w:tc>
        <w:tc>
          <w:tcPr>
            <w:tcW w:w="365" w:type="pct"/>
            <w:vAlign w:val="center"/>
          </w:tcPr>
          <w:p w14:paraId="21699BF3">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7119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6535BB8C">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bCs/>
                <w:sz w:val="21"/>
                <w:szCs w:val="21"/>
              </w:rPr>
              <w:t>情境六：课程综合实训与病例分析（6 课时）</w:t>
            </w:r>
          </w:p>
        </w:tc>
        <w:tc>
          <w:tcPr>
            <w:tcW w:w="671" w:type="pct"/>
            <w:vAlign w:val="center"/>
          </w:tcPr>
          <w:p w14:paraId="1E0BCCC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1：外科产科综合技能实训</w:t>
            </w:r>
          </w:p>
        </w:tc>
        <w:tc>
          <w:tcPr>
            <w:tcW w:w="1111" w:type="pct"/>
            <w:vAlign w:val="center"/>
          </w:tcPr>
          <w:p w14:paraId="6B585E1E">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外科产科常见操作的流程整合；2. 临床病例的诊断思路与治疗方案制定</w:t>
            </w:r>
          </w:p>
        </w:tc>
        <w:tc>
          <w:tcPr>
            <w:tcW w:w="1177" w:type="pct"/>
            <w:vAlign w:val="center"/>
          </w:tcPr>
          <w:p w14:paraId="522AD5A0">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模拟病例的综合诊疗操作（从诊断到治疗）；2. 手术团队的分工协作演练</w:t>
            </w:r>
          </w:p>
        </w:tc>
        <w:tc>
          <w:tcPr>
            <w:tcW w:w="825" w:type="pct"/>
            <w:vAlign w:val="center"/>
          </w:tcPr>
          <w:p w14:paraId="6E287515">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团队协作精神；2. 解决实际问题的能力</w:t>
            </w:r>
          </w:p>
        </w:tc>
        <w:tc>
          <w:tcPr>
            <w:tcW w:w="365" w:type="pct"/>
            <w:vAlign w:val="center"/>
          </w:tcPr>
          <w:p w14:paraId="0A742E8A">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14C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pct"/>
            <w:vAlign w:val="center"/>
          </w:tcPr>
          <w:p w14:paraId="6C068088">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p>
        </w:tc>
        <w:tc>
          <w:tcPr>
            <w:tcW w:w="671" w:type="pct"/>
            <w:vAlign w:val="center"/>
          </w:tcPr>
          <w:p w14:paraId="484FF067">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任务 2：典型病例分析与讨论</w:t>
            </w:r>
          </w:p>
        </w:tc>
        <w:tc>
          <w:tcPr>
            <w:tcW w:w="1111" w:type="pct"/>
            <w:vAlign w:val="center"/>
          </w:tcPr>
          <w:p w14:paraId="142DBA2A">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外科产科疑难病例的诊疗要点；2. 诊疗失误的原因分析与防范</w:t>
            </w:r>
          </w:p>
        </w:tc>
        <w:tc>
          <w:tcPr>
            <w:tcW w:w="1177" w:type="pct"/>
            <w:vAlign w:val="center"/>
          </w:tcPr>
          <w:p w14:paraId="147F237D">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典型病例的汇报与分析； 诊疗方案的优化与讨论</w:t>
            </w:r>
          </w:p>
        </w:tc>
        <w:tc>
          <w:tcPr>
            <w:tcW w:w="825" w:type="pct"/>
            <w:vAlign w:val="center"/>
          </w:tcPr>
          <w:p w14:paraId="7C0C048F">
            <w:pPr>
              <w:pStyle w:val="36"/>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批判性思维与创新意识；2. 终身学习的职业态度</w:t>
            </w:r>
          </w:p>
        </w:tc>
        <w:tc>
          <w:tcPr>
            <w:tcW w:w="365" w:type="pct"/>
            <w:vAlign w:val="center"/>
          </w:tcPr>
          <w:p w14:paraId="14B9561F">
            <w:pPr>
              <w:pStyle w:val="36"/>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23C1E517">
      <w:pPr>
        <w:pStyle w:val="3"/>
        <w:bidi w:val="0"/>
        <w:rPr>
          <w:rFonts w:hint="eastAsia"/>
          <w:lang w:val="en-US" w:eastAsia="zh-CN"/>
        </w:rPr>
      </w:pPr>
      <w:r>
        <w:rPr>
          <w:rFonts w:hint="eastAsia"/>
          <w:lang w:val="en-US" w:eastAsia="zh-CN"/>
        </w:rPr>
        <w:t>六、课程考核与评价</w:t>
      </w:r>
    </w:p>
    <w:p w14:paraId="419EF6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955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135F1F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3A4DF74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DD6FA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E3C9ED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730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43A4DC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2527C8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1F504E5">
            <w:pPr>
              <w:rPr>
                <w:rFonts w:hint="eastAsia" w:ascii="Arial" w:hAnsi="Arial" w:eastAsia="宋体" w:cs="Arial"/>
                <w:color w:val="FF0000"/>
                <w:kern w:val="2"/>
                <w:sz w:val="21"/>
                <w:szCs w:val="24"/>
                <w:lang w:val="en-US" w:eastAsia="zh-CN" w:bidi="ar-SA"/>
              </w:rPr>
            </w:pPr>
            <w:r>
              <w:rPr>
                <w:rFonts w:hint="eastAsia" w:ascii="Arial" w:hAnsi="Arial" w:eastAsia="宋体" w:cs="Arial"/>
                <w:color w:val="000000" w:themeColor="text1"/>
                <w:sz w:val="2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216E3E2F">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000000" w:themeColor="text1"/>
                <w:sz w:val="21"/>
                <w:lang w:val="en-US" w:eastAsia="zh-CN"/>
                <w14:textFill>
                  <w14:solidFill>
                    <w14:schemeClr w14:val="tx1"/>
                  </w14:solidFill>
                </w14:textFill>
              </w:rPr>
              <w:t>25%</w:t>
            </w:r>
          </w:p>
        </w:tc>
        <w:tc>
          <w:tcPr>
            <w:tcW w:w="3540" w:type="dxa"/>
            <w:tcBorders>
              <w:left w:val="single" w:color="auto" w:sz="4" w:space="0"/>
              <w:right w:val="single" w:color="auto" w:sz="4" w:space="0"/>
            </w:tcBorders>
            <w:vAlign w:val="center"/>
          </w:tcPr>
          <w:p w14:paraId="462FDC2D">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出勤制度（30%）、作业（40%）、课堂提问（30%）</w:t>
            </w:r>
          </w:p>
        </w:tc>
      </w:tr>
      <w:tr w14:paraId="08B1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A1077E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15051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71FC48FC">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68053C72">
            <w:pPr>
              <w:jc w:val="cente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3E630098">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以试卷或提问考核的方式对单元的基本知识和重点内容进行考核</w:t>
            </w:r>
          </w:p>
        </w:tc>
      </w:tr>
      <w:tr w14:paraId="22B1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6E6AA9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868FE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9A43419">
            <w:pPr>
              <w:rPr>
                <w:rFonts w:hint="default"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技能操作熟练程度</w:t>
            </w:r>
          </w:p>
        </w:tc>
        <w:tc>
          <w:tcPr>
            <w:tcW w:w="1311" w:type="dxa"/>
            <w:tcBorders>
              <w:left w:val="single" w:color="auto" w:sz="4" w:space="0"/>
              <w:right w:val="single" w:color="auto" w:sz="4" w:space="0"/>
            </w:tcBorders>
            <w:vAlign w:val="center"/>
          </w:tcPr>
          <w:p w14:paraId="081A652B">
            <w:pPr>
              <w:jc w:val="cente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15%</w:t>
            </w:r>
          </w:p>
        </w:tc>
        <w:tc>
          <w:tcPr>
            <w:tcW w:w="3540" w:type="dxa"/>
            <w:tcBorders>
              <w:left w:val="single" w:color="auto" w:sz="4" w:space="0"/>
              <w:right w:val="single" w:color="auto" w:sz="4" w:space="0"/>
            </w:tcBorders>
            <w:vAlign w:val="center"/>
          </w:tcPr>
          <w:p w14:paraId="43C82C09">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学生动手能力和实际操作的能力进行考核</w:t>
            </w:r>
          </w:p>
        </w:tc>
      </w:tr>
      <w:tr w14:paraId="61C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157D4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38D67FD3">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闭卷期末考试</w:t>
            </w:r>
          </w:p>
        </w:tc>
        <w:tc>
          <w:tcPr>
            <w:tcW w:w="1311" w:type="dxa"/>
            <w:tcBorders>
              <w:left w:val="single" w:color="auto" w:sz="4" w:space="0"/>
              <w:right w:val="single" w:color="auto" w:sz="4" w:space="0"/>
            </w:tcBorders>
            <w:vAlign w:val="center"/>
          </w:tcPr>
          <w:p w14:paraId="72571774">
            <w:pPr>
              <w:jc w:val="cente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2DFC1641">
            <w:pPr>
              <w:rPr>
                <w:rFonts w:hint="eastAsia" w:ascii="宋体" w:hAnsi="宋体" w:eastAsia="宋体" w:cs="宋体"/>
                <w:color w:val="FF0000"/>
                <w:sz w:val="21"/>
                <w:szCs w:val="21"/>
                <w:lang w:val="en-US" w:eastAsia="zh-CN"/>
              </w:rPr>
            </w:pPr>
            <w:r>
              <w:rPr>
                <w:rFonts w:hint="eastAsia" w:ascii="Arial" w:hAnsi="Arial" w:eastAsia="宋体" w:cs="Arial"/>
                <w:color w:val="000000" w:themeColor="text1"/>
                <w:sz w:val="21"/>
                <w:lang w:val="en-US" w:eastAsia="zh-CN"/>
                <w14:textFill>
                  <w14:solidFill>
                    <w14:schemeClr w14:val="tx1"/>
                  </w14:solidFill>
                </w14:textFill>
              </w:rPr>
              <w:t>对课程进行总体考核，考试学生对基本知识和基本技能的掌握程度</w:t>
            </w:r>
          </w:p>
        </w:tc>
      </w:tr>
    </w:tbl>
    <w:p w14:paraId="44EDDFBD">
      <w:pPr>
        <w:pStyle w:val="3"/>
        <w:bidi w:val="0"/>
        <w:rPr>
          <w:rFonts w:hint="eastAsia"/>
          <w:lang w:val="en-US" w:eastAsia="zh-CN"/>
        </w:rPr>
      </w:pPr>
      <w:r>
        <w:rPr>
          <w:rFonts w:hint="eastAsia"/>
          <w:lang w:val="en-US" w:eastAsia="zh-CN"/>
        </w:rPr>
        <w:t>七、课程实施与保障</w:t>
      </w:r>
    </w:p>
    <w:p w14:paraId="3045B0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20925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19BB16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69586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cstheme="minorEastAsia"/>
          <w:color w:val="auto"/>
          <w:sz w:val="24"/>
          <w:szCs w:val="24"/>
          <w:lang w:val="en-US" w:eastAsia="zh-CN"/>
        </w:rPr>
        <w:t>诚实守信</w:t>
      </w:r>
      <w:r>
        <w:rPr>
          <w:rFonts w:hint="eastAsia" w:ascii="宋体" w:hAnsi="宋体" w:eastAsia="宋体" w:cs="宋体"/>
          <w:sz w:val="24"/>
          <w:szCs w:val="24"/>
          <w:lang w:val="en-US" w:eastAsia="zh-CN"/>
        </w:rPr>
        <w:t>”、“</w:t>
      </w:r>
      <w:r>
        <w:rPr>
          <w:rFonts w:hint="eastAsia" w:asciiTheme="minorEastAsia" w:hAnsiTheme="minorEastAsia" w:cstheme="minorEastAsia"/>
          <w:color w:val="auto"/>
          <w:sz w:val="24"/>
          <w:szCs w:val="24"/>
          <w:lang w:val="en-US" w:eastAsia="zh-CN"/>
        </w:rPr>
        <w:t>恪尽职守</w:t>
      </w:r>
      <w:r>
        <w:rPr>
          <w:rFonts w:hint="eastAsia" w:ascii="宋体" w:hAnsi="宋体" w:eastAsia="宋体" w:cs="宋体"/>
          <w:sz w:val="24"/>
          <w:szCs w:val="24"/>
          <w:lang w:val="en-US" w:eastAsia="zh-CN"/>
        </w:rPr>
        <w:t>”的课程思政价值链，结合畜牧兽医师的经历，将科技创新精神和工匠精神传递给学生，促使专业知识与思政教育水乳交融。融入产业行业发展形势政策，增强学生的学习动力；融入行业知名工匠事迹，培养学生工匠精神：融合专业创造发明故事，培养学生“终身学习"意识。</w:t>
      </w:r>
    </w:p>
    <w:p w14:paraId="1FCCF7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3ED12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73AE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6E8F09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11DE1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590"/>
        <w:gridCol w:w="4085"/>
        <w:gridCol w:w="2485"/>
      </w:tblGrid>
      <w:tr w14:paraId="1FDE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noWrap w:val="0"/>
            <w:vAlign w:val="center"/>
          </w:tcPr>
          <w:p w14:paraId="061CE338">
            <w:pPr>
              <w:pStyle w:val="9"/>
              <w:ind w:firstLine="0" w:firstLineChars="0"/>
              <w:jc w:val="center"/>
              <w:rPr>
                <w:rFonts w:ascii="宋体" w:hAnsi="宋体" w:cs="宋体"/>
                <w:iCs/>
                <w:sz w:val="21"/>
                <w:szCs w:val="21"/>
              </w:rPr>
            </w:pPr>
            <w:r>
              <w:rPr>
                <w:rFonts w:hint="eastAsia" w:ascii="宋体" w:hAnsi="宋体" w:cs="宋体"/>
                <w:iCs/>
                <w:sz w:val="21"/>
                <w:szCs w:val="21"/>
              </w:rPr>
              <w:t>序号</w:t>
            </w:r>
          </w:p>
        </w:tc>
        <w:tc>
          <w:tcPr>
            <w:tcW w:w="1314" w:type="pct"/>
            <w:noWrap w:val="0"/>
            <w:vAlign w:val="center"/>
          </w:tcPr>
          <w:p w14:paraId="16A5BB7E">
            <w:pPr>
              <w:pStyle w:val="9"/>
              <w:ind w:firstLine="0" w:firstLineChars="0"/>
              <w:jc w:val="center"/>
              <w:rPr>
                <w:rFonts w:ascii="宋体" w:hAnsi="宋体" w:cs="宋体"/>
                <w:iCs/>
                <w:sz w:val="21"/>
                <w:szCs w:val="21"/>
              </w:rPr>
            </w:pPr>
            <w:r>
              <w:rPr>
                <w:rFonts w:hint="eastAsia" w:ascii="宋体" w:hAnsi="宋体" w:cs="宋体"/>
                <w:iCs/>
                <w:sz w:val="21"/>
                <w:szCs w:val="21"/>
              </w:rPr>
              <w:t>名称</w:t>
            </w:r>
          </w:p>
        </w:tc>
        <w:tc>
          <w:tcPr>
            <w:tcW w:w="2073" w:type="pct"/>
            <w:noWrap w:val="0"/>
            <w:vAlign w:val="center"/>
          </w:tcPr>
          <w:p w14:paraId="6CDADF2E">
            <w:pPr>
              <w:pStyle w:val="9"/>
              <w:ind w:firstLine="0" w:firstLineChars="0"/>
              <w:jc w:val="center"/>
              <w:rPr>
                <w:rFonts w:ascii="宋体" w:hAnsi="宋体" w:cs="宋体"/>
                <w:iCs/>
                <w:sz w:val="21"/>
                <w:szCs w:val="21"/>
              </w:rPr>
            </w:pPr>
            <w:r>
              <w:rPr>
                <w:rFonts w:hint="eastAsia" w:ascii="宋体" w:hAnsi="宋体" w:cs="宋体"/>
                <w:iCs/>
                <w:sz w:val="21"/>
                <w:szCs w:val="21"/>
              </w:rPr>
              <w:t>基本配置要求</w:t>
            </w:r>
          </w:p>
        </w:tc>
        <w:tc>
          <w:tcPr>
            <w:tcW w:w="1261" w:type="pct"/>
            <w:noWrap w:val="0"/>
            <w:vAlign w:val="center"/>
          </w:tcPr>
          <w:p w14:paraId="76989AFF">
            <w:pPr>
              <w:pStyle w:val="9"/>
              <w:ind w:firstLine="0" w:firstLineChars="0"/>
              <w:jc w:val="center"/>
              <w:rPr>
                <w:rFonts w:ascii="宋体" w:hAnsi="宋体" w:cs="宋体"/>
                <w:iCs/>
                <w:sz w:val="21"/>
                <w:szCs w:val="21"/>
              </w:rPr>
            </w:pPr>
            <w:r>
              <w:rPr>
                <w:rFonts w:hint="eastAsia" w:ascii="宋体" w:hAnsi="宋体" w:cs="宋体"/>
                <w:iCs/>
                <w:sz w:val="21"/>
                <w:szCs w:val="21"/>
              </w:rPr>
              <w:t>功能说明</w:t>
            </w:r>
          </w:p>
        </w:tc>
      </w:tr>
      <w:tr w14:paraId="4D28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noWrap w:val="0"/>
            <w:vAlign w:val="center"/>
          </w:tcPr>
          <w:p w14:paraId="3D7329A2">
            <w:pPr>
              <w:pStyle w:val="9"/>
              <w:ind w:firstLine="0" w:firstLineChars="0"/>
              <w:jc w:val="center"/>
              <w:rPr>
                <w:rFonts w:ascii="宋体" w:hAnsi="宋体" w:cs="宋体"/>
                <w:iCs/>
                <w:sz w:val="21"/>
                <w:szCs w:val="21"/>
              </w:rPr>
            </w:pPr>
            <w:r>
              <w:rPr>
                <w:rFonts w:hint="eastAsia" w:ascii="宋体" w:hAnsi="宋体" w:cs="宋体"/>
                <w:iCs/>
                <w:sz w:val="21"/>
                <w:szCs w:val="21"/>
              </w:rPr>
              <w:t>1</w:t>
            </w:r>
          </w:p>
        </w:tc>
        <w:tc>
          <w:tcPr>
            <w:tcW w:w="1314" w:type="pct"/>
            <w:noWrap w:val="0"/>
            <w:vAlign w:val="center"/>
          </w:tcPr>
          <w:p w14:paraId="2B7E510F">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73" w:type="pct"/>
            <w:noWrap w:val="0"/>
            <w:vAlign w:val="center"/>
          </w:tcPr>
          <w:p w14:paraId="31F55D97">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61" w:type="pct"/>
            <w:noWrap w:val="0"/>
            <w:vAlign w:val="center"/>
          </w:tcPr>
          <w:p w14:paraId="3015ED3A">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2840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noWrap w:val="0"/>
            <w:vAlign w:val="center"/>
          </w:tcPr>
          <w:p w14:paraId="01B9A2B3">
            <w:pPr>
              <w:pStyle w:val="9"/>
              <w:ind w:firstLine="0" w:firstLineChars="0"/>
              <w:jc w:val="center"/>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14" w:type="pct"/>
            <w:noWrap w:val="0"/>
            <w:vAlign w:val="center"/>
          </w:tcPr>
          <w:p w14:paraId="1802F78E">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动物外科实训室</w:t>
            </w:r>
          </w:p>
        </w:tc>
        <w:tc>
          <w:tcPr>
            <w:tcW w:w="2073" w:type="pct"/>
            <w:noWrap w:val="0"/>
            <w:vAlign w:val="center"/>
          </w:tcPr>
          <w:p w14:paraId="11CFCA4D">
            <w:pPr>
              <w:pStyle w:val="9"/>
              <w:ind w:firstLine="0" w:firstLineChars="0"/>
              <w:jc w:val="center"/>
              <w:rPr>
                <w:rFonts w:hint="eastAsia" w:ascii="宋体" w:hAnsi="宋体" w:cs="宋体"/>
                <w:iCs/>
                <w:sz w:val="21"/>
                <w:szCs w:val="21"/>
                <w:lang w:val="en-US" w:eastAsia="zh-CN"/>
              </w:rPr>
            </w:pPr>
          </w:p>
          <w:p w14:paraId="64029AA4">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手术台、无影灯、无线投影设备、呼吸麻醉机、监护仪</w:t>
            </w:r>
          </w:p>
        </w:tc>
        <w:tc>
          <w:tcPr>
            <w:tcW w:w="1261" w:type="pct"/>
            <w:noWrap w:val="0"/>
            <w:vAlign w:val="center"/>
          </w:tcPr>
          <w:p w14:paraId="7FC0F4B1">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（1）无菌技术操作</w:t>
            </w:r>
          </w:p>
          <w:p w14:paraId="157BE222">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（2）进行基础的软组织手术及麻醉</w:t>
            </w:r>
          </w:p>
          <w:p w14:paraId="17B6B748">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（3）练习缝合、包扎、打结</w:t>
            </w:r>
          </w:p>
        </w:tc>
      </w:tr>
    </w:tbl>
    <w:p w14:paraId="68671D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B8BF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（1）基本教学资源：《动物外科产科》教材、教案、课件、《动物外科与产科》题库、 动物外科实训室</w:t>
      </w:r>
    </w:p>
    <w:p w14:paraId="70B2F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p w14:paraId="2A4E4E3B">
      <w:pPr>
        <w:rPr>
          <w:rFonts w:hint="eastAsia" w:ascii="宋体" w:hAnsi="宋体" w:eastAsia="宋体" w:cs="宋体"/>
          <w:sz w:val="24"/>
          <w:szCs w:val="24"/>
          <w:lang w:val="en-US" w:eastAsia="zh-CN"/>
        </w:rPr>
      </w:pPr>
    </w:p>
    <w:p w14:paraId="3C3C3EE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39F7EFF">
      <w:pPr>
        <w:rPr>
          <w:rFonts w:hint="eastAsia"/>
          <w:lang w:val="en-US" w:eastAsia="zh-CN"/>
        </w:rPr>
      </w:pPr>
      <w:bookmarkStart w:id="54" w:name="_Toc17449"/>
      <w:r>
        <w:rPr>
          <w:rFonts w:hint="eastAsia"/>
          <w:lang w:val="en-US" w:eastAsia="zh-CN"/>
        </w:rPr>
        <w:br w:type="page"/>
      </w:r>
    </w:p>
    <w:p w14:paraId="7712F59C">
      <w:pPr>
        <w:pStyle w:val="2"/>
        <w:bidi w:val="0"/>
        <w:rPr>
          <w:rFonts w:hint="eastAsia"/>
          <w:lang w:val="en-US" w:eastAsia="zh-CN"/>
        </w:rPr>
      </w:pPr>
      <w:bookmarkStart w:id="55" w:name="_Toc7719"/>
      <w:r>
        <w:rPr>
          <w:rFonts w:hint="eastAsia"/>
          <w:lang w:val="en-US" w:eastAsia="zh-CN"/>
        </w:rPr>
        <w:t>《动物疫病防治技术》课程标准</w:t>
      </w:r>
      <w:bookmarkEnd w:id="54"/>
      <w:bookmarkEnd w:id="55"/>
    </w:p>
    <w:p w14:paraId="6A7CF398">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7AD5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004022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8A9561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动物疫病防治技术</w:t>
            </w:r>
          </w:p>
        </w:tc>
        <w:tc>
          <w:tcPr>
            <w:tcW w:w="975" w:type="dxa"/>
            <w:tcBorders>
              <w:top w:val="single" w:color="auto" w:sz="4" w:space="0"/>
              <w:left w:val="single" w:color="auto" w:sz="4" w:space="0"/>
              <w:bottom w:val="single" w:color="auto" w:sz="4" w:space="0"/>
              <w:right w:val="single" w:color="auto" w:sz="4" w:space="0"/>
            </w:tcBorders>
            <w:vAlign w:val="center"/>
          </w:tcPr>
          <w:p w14:paraId="45A5135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C634C2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xcxm24024</w:t>
            </w:r>
          </w:p>
        </w:tc>
      </w:tr>
      <w:tr w14:paraId="448E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6D4428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309C753">
            <w:pPr>
              <w:jc w:val="center"/>
              <w:rPr>
                <w:rFonts w:hint="default" w:eastAsiaTheme="minorEastAsia"/>
                <w:sz w:val="21"/>
                <w:szCs w:val="21"/>
                <w:lang w:val="en-US" w:eastAsia="zh-CN"/>
              </w:rPr>
            </w:pPr>
            <w:r>
              <w:rPr>
                <w:rFonts w:hint="eastAsia"/>
                <w:sz w:val="21"/>
                <w:szCs w:val="21"/>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2010EEA6">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F7BA624">
            <w:pPr>
              <w:jc w:val="center"/>
              <w:rPr>
                <w:rFonts w:hint="eastAsia"/>
                <w:sz w:val="21"/>
                <w:szCs w:val="21"/>
                <w:lang w:val="en-US" w:eastAsia="zh-CN"/>
              </w:rPr>
            </w:pPr>
            <w:r>
              <w:rPr>
                <w:rFonts w:hint="eastAsia"/>
                <w:sz w:val="21"/>
                <w:szCs w:val="21"/>
                <w:lang w:val="en-US" w:eastAsia="zh-CN"/>
              </w:rPr>
              <w:t>18学时</w:t>
            </w:r>
          </w:p>
        </w:tc>
        <w:tc>
          <w:tcPr>
            <w:tcW w:w="975" w:type="dxa"/>
            <w:tcBorders>
              <w:top w:val="single" w:color="auto" w:sz="4" w:space="0"/>
              <w:left w:val="single" w:color="auto" w:sz="4" w:space="0"/>
              <w:bottom w:val="single" w:color="auto" w:sz="4" w:space="0"/>
              <w:right w:val="single" w:color="auto" w:sz="4" w:space="0"/>
            </w:tcBorders>
            <w:vAlign w:val="center"/>
          </w:tcPr>
          <w:p w14:paraId="16D3F70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7C9051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6DE3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E786AF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8706693">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7476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FB35CFA">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BC1C616">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BF6E4C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EA1014E">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123A869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5C8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48A2B5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C7560A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lang w:val="en-US" w:eastAsia="zh-CN"/>
              </w:rPr>
              <w:t>动物微生物与免疫 牛羊生产 养禽与禽病防治 养猪与猪病防治</w:t>
            </w:r>
          </w:p>
        </w:tc>
      </w:tr>
      <w:tr w14:paraId="421E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3EFFAE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4E9140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lang w:val="en-US" w:eastAsia="zh-CN"/>
              </w:rPr>
              <w:t xml:space="preserve">动物防疫与检疫 岗位实习 </w:t>
            </w:r>
          </w:p>
        </w:tc>
      </w:tr>
      <w:tr w14:paraId="69C0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0C644C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34DBE82">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sz w:val="21"/>
                <w:szCs w:val="21"/>
                <w:lang w:val="en-US" w:eastAsia="zh-CN"/>
              </w:rPr>
              <w:t>动物疫病防治技术</w:t>
            </w:r>
            <w:r>
              <w:rPr>
                <w:rFonts w:ascii="Arial" w:hAnsi="Arial" w:eastAsia="宋体" w:cs="Arial"/>
                <w:sz w:val="21"/>
                <w:szCs w:val="21"/>
              </w:rPr>
              <w:t>》（</w:t>
            </w:r>
            <w:r>
              <w:rPr>
                <w:rFonts w:hint="eastAsia" w:ascii="Arial" w:hAnsi="Arial" w:eastAsia="宋体" w:cs="Arial"/>
                <w:sz w:val="21"/>
                <w:szCs w:val="21"/>
                <w:lang w:val="en-US" w:eastAsia="zh-CN"/>
              </w:rPr>
              <w:t>刘振湘</w:t>
            </w:r>
            <w:r>
              <w:rPr>
                <w:rFonts w:hint="eastAsia" w:ascii="Arial" w:hAnsi="Arial" w:eastAsia="宋体" w:cs="Arial"/>
                <w:sz w:val="21"/>
                <w:szCs w:val="21"/>
              </w:rPr>
              <w:t>，</w:t>
            </w:r>
            <w:r>
              <w:rPr>
                <w:rFonts w:hint="eastAsia" w:ascii="Arial" w:hAnsi="Arial" w:eastAsia="宋体" w:cs="Arial"/>
                <w:sz w:val="21"/>
                <w:szCs w:val="21"/>
                <w:lang w:val="en-US" w:eastAsia="zh-CN"/>
              </w:rPr>
              <w:t>化学工业出版社，2022，ISBN9787122399649号</w:t>
            </w:r>
            <w:r>
              <w:rPr>
                <w:rFonts w:ascii="Arial" w:hAnsi="Arial" w:eastAsia="宋体" w:cs="Arial"/>
                <w:sz w:val="21"/>
                <w:szCs w:val="21"/>
              </w:rPr>
              <w:t>)</w:t>
            </w:r>
          </w:p>
        </w:tc>
      </w:tr>
      <w:tr w14:paraId="0335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29F344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CDFACE4">
            <w:pPr>
              <w:widowControl/>
              <w:jc w:val="left"/>
              <w:rPr>
                <w:rFonts w:hint="eastAsia" w:eastAsiaTheme="minorEastAsia"/>
                <w:sz w:val="21"/>
                <w:szCs w:val="21"/>
                <w:lang w:val="en-US" w:eastAsia="zh-CN"/>
              </w:rPr>
            </w:pPr>
            <w:r>
              <w:rPr>
                <w:rFonts w:hint="eastAsia"/>
                <w:sz w:val="21"/>
                <w:szCs w:val="21"/>
                <w:lang w:val="en-US" w:eastAsia="zh-CN"/>
              </w:rPr>
              <w:t>梁爽</w:t>
            </w:r>
          </w:p>
        </w:tc>
        <w:tc>
          <w:tcPr>
            <w:tcW w:w="975" w:type="dxa"/>
            <w:tcBorders>
              <w:top w:val="single" w:color="auto" w:sz="4" w:space="0"/>
              <w:left w:val="single" w:color="auto" w:sz="4" w:space="0"/>
              <w:bottom w:val="single" w:color="auto" w:sz="4" w:space="0"/>
              <w:right w:val="single" w:color="auto" w:sz="4" w:space="0"/>
            </w:tcBorders>
            <w:vAlign w:val="center"/>
          </w:tcPr>
          <w:p w14:paraId="720F7A2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AC7546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425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C7792D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CC2CEA4">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0C1E476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D8FC12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A004A6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5C710FA">
      <w:pPr>
        <w:pStyle w:val="3"/>
        <w:bidi w:val="0"/>
        <w:rPr>
          <w:rFonts w:hint="eastAsia"/>
          <w:lang w:val="en-US" w:eastAsia="zh-CN"/>
        </w:rPr>
      </w:pPr>
      <w:r>
        <w:rPr>
          <w:rFonts w:hint="eastAsia"/>
          <w:lang w:val="en-US" w:eastAsia="zh-CN"/>
        </w:rPr>
        <w:t>二、课程定位</w:t>
      </w:r>
    </w:p>
    <w:p w14:paraId="64A35F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必修的一门专业选修课程，是在动物微生物与免疫、牛羊生产、 养禽与禽病防治、养猪与猪病防治基础上开设的一门理论+实践的课程，对接专业人才培养目标，面向畜牧兽医工作岗位，培养学生具备动物养殖场防疫、动物及动物产品检疫职业素质，具备为保障畜牧业健康发展、公共卫生安全及动物产品质量安全能力，为后续岗位实习课程学习奠定基础的课程。同时，将课程思政内容融入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A24333F">
      <w:pPr>
        <w:pStyle w:val="3"/>
        <w:bidi w:val="0"/>
        <w:rPr>
          <w:rFonts w:hint="eastAsia"/>
          <w:lang w:val="en-US" w:eastAsia="zh-CN"/>
        </w:rPr>
      </w:pPr>
      <w:r>
        <w:rPr>
          <w:rFonts w:hint="eastAsia"/>
          <w:lang w:val="en-US" w:eastAsia="zh-CN"/>
        </w:rPr>
        <w:t>三、课程设计思路</w:t>
      </w:r>
    </w:p>
    <w:p w14:paraId="5842A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本课程遵循 “诊断为先、防治并重、理实融合、思政贯穿” 的设计理念，具体思路如下：​</w:t>
      </w:r>
    </w:p>
    <w:p w14:paraId="13CC22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以岗位能力为核心：调研疫病防治相关岗位核心工作任务（疫病诊断、防控方案制定、兽药使用、疫情处置），提炼必备知识与技能，转化为模块化教学内容，确保教学与岗位需求精准对接。​</w:t>
      </w:r>
    </w:p>
    <w:p w14:paraId="266104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以流程逻辑为主线：按 “疫病诊断→防控技术→治疗实操→应急处置” 的工作流程设计学习情境，构建 “理论讲解 — 案例剖析 — 实操训练 — 综合应用” 的教学链条，强化技能落地。​</w:t>
      </w:r>
    </w:p>
    <w:p w14:paraId="0AB261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以前后衔接为基础：紧密对接《动物防疫与检疫》的防疫检疫知识，拓展疫病诊断方法与治疗技术，为后续《毕业实习》奠定进阶能力。​</w:t>
      </w:r>
    </w:p>
    <w:p w14:paraId="66D4E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以法规合规为底线：将《动物防疫法》《兽药管理条例》《生物安全法》贯穿教学，突出兽药使用规范、疫情报告流程等合规要求，强化职业素养。​</w:t>
      </w:r>
    </w:p>
    <w:p w14:paraId="03DC63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以思政融入为引领：将责任担当、科学严谨、法治观念、生物安全意识等思政元素融入各教学模块，实现技能培养与价值引领的统一。</w:t>
      </w:r>
    </w:p>
    <w:p w14:paraId="66349034">
      <w:pPr>
        <w:pStyle w:val="3"/>
        <w:bidi w:val="0"/>
        <w:rPr>
          <w:rFonts w:hint="eastAsia"/>
          <w:lang w:val="en-US" w:eastAsia="zh-CN"/>
        </w:rPr>
      </w:pPr>
      <w:r>
        <w:rPr>
          <w:rFonts w:hint="eastAsia"/>
          <w:lang w:val="en-US" w:eastAsia="zh-CN"/>
        </w:rPr>
        <w:t>四、课程目标</w:t>
      </w:r>
    </w:p>
    <w:p w14:paraId="7F9230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1919A7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掌握动物疫病诊断的基本方法（临床诊断、流行病学诊断、实验室初步诊断）及诊断标准，熟悉常见动物疫病（猪瘟、禽流感、新城疫、口蹄疫等）的典型症状与病理变化。</w:t>
      </w:r>
      <w:r>
        <w:rPr>
          <w:rFonts w:hint="default" w:asciiTheme="minorEastAsia" w:hAnsiTheme="minorEastAsia" w:eastAsiaTheme="minorEastAsia" w:cstheme="minorEastAsia"/>
          <w:sz w:val="24"/>
          <w:szCs w:val="24"/>
        </w:rPr>
        <w:t>​</w:t>
      </w:r>
    </w:p>
    <w:p w14:paraId="204C5B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rPr>
        <w:t>理解动物疫病综合防控的核心逻辑（预防为主、防治结合），掌握免疫防控、生物安全防控、药物防控的原理与应用场景。​</w:t>
      </w:r>
    </w:p>
    <w:p w14:paraId="34DAB4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rPr>
        <w:t>熟悉常用兽药（抗生素、抗病毒药、驱虫药等）的分类、作用机制、适应症、用法用量及使用禁忌，掌握兽药合理应用原则（对症用药、剂量精准、休药期合规）。​</w:t>
      </w:r>
      <w:r>
        <w:rPr>
          <w:rFonts w:hint="eastAsia" w:asciiTheme="minorEastAsia" w:hAnsiTheme="minorEastAsia" w:cstheme="minorEastAsia"/>
          <w:sz w:val="24"/>
          <w:szCs w:val="24"/>
          <w:lang w:val="en-US" w:eastAsia="zh-CN"/>
        </w:rPr>
        <w:t xml:space="preserve">  4.</w:t>
      </w:r>
      <w:r>
        <w:rPr>
          <w:rFonts w:hint="default" w:asciiTheme="minorEastAsia" w:hAnsiTheme="minorEastAsia" w:eastAsiaTheme="minorEastAsia" w:cstheme="minorEastAsia"/>
          <w:sz w:val="24"/>
          <w:szCs w:val="24"/>
        </w:rPr>
        <w:t>了解重大动物疫病（一类疫病）的识别要点、应急响应流程及处置规范（扑杀、无害化处理），熟悉疫情报告的要求与流程。​</w:t>
      </w:r>
    </w:p>
    <w:p w14:paraId="1940CF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rPr>
        <w:t>掌握动物疫病治疗的基本技术（注射给药、口服给药、外用给药）及常见并发症的处理原则，了解疫病康复期护理要点。​</w:t>
      </w:r>
    </w:p>
    <w:p w14:paraId="4DEAAD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default" w:asciiTheme="minorEastAsia" w:hAnsiTheme="minorEastAsia" w:eastAsiaTheme="minorEastAsia" w:cstheme="minorEastAsia"/>
          <w:sz w:val="24"/>
          <w:szCs w:val="24"/>
        </w:rPr>
        <w:t>熟悉养殖场生物安全体系构建的核心要素（人员管理、车辆消毒、物资防控、粪污处理），了解疫病防控新技术（疫苗研发、快速诊断技术）的应用趋势。</w:t>
      </w:r>
    </w:p>
    <w:p w14:paraId="6B9FC5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100887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1具备常见动物疫病的初步诊断能力，能通过临床症状观察、病理变化识别，结合流行病学信息，对猪、禽、牛、羊主要疫病进行精准判断。</w:t>
      </w:r>
      <w:r>
        <w:rPr>
          <w:rFonts w:hint="default" w:asciiTheme="minorEastAsia" w:hAnsiTheme="minorEastAsia" w:eastAsiaTheme="minorEastAsia" w:cstheme="minorEastAsia"/>
          <w:sz w:val="24"/>
          <w:szCs w:val="24"/>
          <w:lang w:val="en-US" w:eastAsia="zh-CN"/>
        </w:rPr>
        <w:t>​</w:t>
      </w:r>
    </w:p>
    <w:p w14:paraId="120C9B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能够运用诊断方法（临床检查、采样送检）收集疫病相关信息，撰写简单的疫病诊断报告。​</w:t>
      </w:r>
    </w:p>
    <w:p w14:paraId="278D00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具备动物疫病综合防控方案设计能力，能为养殖场制定针对性的免疫程序、消毒计划及生物安全防控措施。​</w:t>
      </w:r>
    </w:p>
    <w:p w14:paraId="5BAEEA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能够合理选择与使用兽药，规范进行注射、口服等给药操作，准确计算给药剂量，严格遵守休药期规定。​</w:t>
      </w:r>
    </w:p>
    <w:p w14:paraId="6B41A1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具备常见动物疫病的基础治疗能力，能对患病动物进行对症治疗，处理常见用药反应及并发症。​</w:t>
      </w:r>
    </w:p>
    <w:p w14:paraId="4F1054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具备初步的重大动物疫情识别与应急处置能力，能按规范报告疫情，配合完成隔离、消毒、无害化处理等基础工作。​</w:t>
      </w:r>
    </w:p>
    <w:p w14:paraId="6DF220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能够识别养殖场生物安全隐患，提出针对性的整改建议，协助构建基础生物安全体系。​</w:t>
      </w:r>
    </w:p>
    <w:p w14:paraId="3BAAF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具备良好的技术服务与沟通能力，能向养殖业主宣传疫病防控知识、指导规范用药及防控操作。</w:t>
      </w:r>
    </w:p>
    <w:p w14:paraId="23801D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71CF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培养科学严谨、求真务实的职业素养，在疫病诊断与治疗中坚守客观公正原则，杜绝虚假诊断、违规用药行为。​</w:t>
      </w:r>
    </w:p>
    <w:p w14:paraId="24AAD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具备强烈的责任担当意识，认识到疫病防治对畜牧业发展、公共卫生安全的重要意义，自觉履行岗位职责。​</w:t>
      </w:r>
    </w:p>
    <w:p w14:paraId="09782B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养成依法合规的职业习惯，严格遵守兽药使用规范、疫情报告制度及生物安全要求，杜绝违规操作。​</w:t>
      </w:r>
    </w:p>
    <w:p w14:paraId="729BF9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具备良好的应急处置能力与抗压能力，能冷静应对突发疫情，高效完成疫病防控与治疗工作。​</w:t>
      </w:r>
    </w:p>
    <w:p w14:paraId="4E7A3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培养团队协作精神，能够与同事、养殖业主、相关部门人员协同开展疫病防控、疫情处置工作。​</w:t>
      </w:r>
    </w:p>
    <w:p w14:paraId="60262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default" w:asciiTheme="minorEastAsia" w:hAnsiTheme="minorEastAsia" w:eastAsiaTheme="minorEastAsia" w:cstheme="minorEastAsia"/>
          <w:sz w:val="24"/>
          <w:szCs w:val="24"/>
          <w:lang w:val="en-US" w:eastAsia="zh-CN"/>
        </w:rPr>
        <w:t>树立终身学习意识，主动关注疫病流行新趋势、兽药新产品、诊断新技术，持续提升专业能力。</w:t>
      </w:r>
    </w:p>
    <w:p w14:paraId="61D6F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714C4F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强化法治观念，自觉遵守《动物防疫法》《兽药管理条例》等法律法规，做到依法防治、合规用药，维护行业秩序与公共利益。</w:t>
      </w:r>
      <w:r>
        <w:rPr>
          <w:rFonts w:hint="default" w:asciiTheme="minorEastAsia" w:hAnsiTheme="minorEastAsia" w:eastAsiaTheme="minorEastAsia" w:cstheme="minorEastAsia"/>
          <w:sz w:val="24"/>
          <w:szCs w:val="24"/>
          <w:lang w:val="en-US" w:eastAsia="zh-CN"/>
        </w:rPr>
        <w:t>​</w:t>
      </w:r>
    </w:p>
    <w:p w14:paraId="5240F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厚植生物安全与公共卫生意识，认识到动物疫病防治与国家生物安全、人民生命健康的密切关系，增强职业使命感。​</w:t>
      </w:r>
    </w:p>
    <w:p w14:paraId="715DA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培养科学严谨、精益求精的工作态度，坚决抵制弄虚作假、敷衍了事的行为，保障疫病诊断与治疗的准确性、有效性。​</w:t>
      </w:r>
    </w:p>
    <w:p w14:paraId="4BAE65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树立责任担当与奉献精神，弘扬 “攻坚克难、主动作为” 的行业作风，在疫病防控一线践行职业价值。​</w:t>
      </w:r>
    </w:p>
    <w:p w14:paraId="2E8BAD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激发行业自信与爱国情怀，认识到疫病防治工作对保障国家粮食安全、畜牧业可持续发展的重要作用，主动为行业发展贡献力量。​</w:t>
      </w:r>
    </w:p>
    <w:p w14:paraId="5CB020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default" w:asciiTheme="minorEastAsia" w:hAnsiTheme="minorEastAsia" w:eastAsiaTheme="minorEastAsia" w:cstheme="minorEastAsia"/>
          <w:sz w:val="24"/>
          <w:szCs w:val="24"/>
          <w:lang w:val="en-US" w:eastAsia="zh-CN"/>
        </w:rPr>
        <w:t>培养生态环保意识，在疫病处置（如无害化处理、粪污消毒）中注重环境保护，践行绿色发展理念。</w:t>
      </w:r>
    </w:p>
    <w:p w14:paraId="194E617F">
      <w:pPr>
        <w:pStyle w:val="3"/>
        <w:bidi w:val="0"/>
        <w:rPr>
          <w:rFonts w:hint="eastAsia"/>
          <w:lang w:val="en-US" w:eastAsia="zh-CN"/>
        </w:rPr>
      </w:pPr>
      <w:r>
        <w:rPr>
          <w:rFonts w:hint="eastAsia"/>
          <w:lang w:val="en-US" w:eastAsia="zh-CN"/>
        </w:rPr>
        <w:t>五、课程内容和要求</w:t>
      </w:r>
    </w:p>
    <w:p w14:paraId="6949E868">
      <w:pPr>
        <w:rPr>
          <w:rFonts w:hint="eastAsia"/>
          <w:lang w:val="en-US" w:eastAsia="zh-CN"/>
        </w:rPr>
      </w:pPr>
      <w:r>
        <w:rPr>
          <w:rFonts w:hint="eastAsia"/>
          <w:lang w:val="en-US" w:eastAsia="zh-CN"/>
        </w:rPr>
        <w:br w:type="page"/>
      </w:r>
    </w:p>
    <w:p w14:paraId="50DD973D">
      <w:pPr>
        <w:rPr>
          <w:rFonts w:hint="eastAsia"/>
          <w:lang w:val="en-US" w:eastAsia="zh-CN"/>
        </w:rPr>
      </w:pPr>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362"/>
        <w:gridCol w:w="2620"/>
        <w:gridCol w:w="2140"/>
        <w:gridCol w:w="1337"/>
        <w:gridCol w:w="713"/>
      </w:tblGrid>
      <w:tr w14:paraId="4F94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846" w:type="pct"/>
            <w:vAlign w:val="center"/>
          </w:tcPr>
          <w:p w14:paraId="4680ECB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2E0A23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692" w:type="pct"/>
            <w:vAlign w:val="center"/>
          </w:tcPr>
          <w:p w14:paraId="04A645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30BC0E4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331" w:type="pct"/>
            <w:vAlign w:val="center"/>
          </w:tcPr>
          <w:p w14:paraId="3D43AF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87" w:type="pct"/>
            <w:vAlign w:val="center"/>
          </w:tcPr>
          <w:p w14:paraId="378A62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79" w:type="pct"/>
            <w:vAlign w:val="center"/>
          </w:tcPr>
          <w:p w14:paraId="349E77C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62" w:type="pct"/>
            <w:vAlign w:val="center"/>
          </w:tcPr>
          <w:p w14:paraId="11C6C6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CD4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846" w:type="pct"/>
            <w:vMerge w:val="restart"/>
            <w:vAlign w:val="center"/>
          </w:tcPr>
          <w:p w14:paraId="22B014A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一、动物疫病诊断技术（8 学时）</w:t>
            </w:r>
          </w:p>
        </w:tc>
        <w:tc>
          <w:tcPr>
            <w:tcW w:w="692" w:type="pct"/>
            <w:vAlign w:val="center"/>
          </w:tcPr>
          <w:p w14:paraId="683DE2D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1.1 临床诊断与流行病学诊断</w:t>
            </w:r>
          </w:p>
        </w:tc>
        <w:tc>
          <w:tcPr>
            <w:tcW w:w="1331" w:type="pct"/>
            <w:vAlign w:val="center"/>
          </w:tcPr>
          <w:p w14:paraId="7D45365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临床诊断方法（视诊、触诊、听诊等）；2. 流行病学诊断要素（传染源、传播途径）；3. 诊断标准与鉴别要点</w:t>
            </w:r>
          </w:p>
        </w:tc>
        <w:tc>
          <w:tcPr>
            <w:tcW w:w="1087" w:type="pct"/>
            <w:vAlign w:val="center"/>
          </w:tcPr>
          <w:p w14:paraId="04BDDA3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规范进行动物临床检查；2. 收集流行病学信息；3. 鉴别常见疫病相似症状</w:t>
            </w:r>
          </w:p>
        </w:tc>
        <w:tc>
          <w:tcPr>
            <w:tcW w:w="679" w:type="pct"/>
            <w:vAlign w:val="center"/>
          </w:tcPr>
          <w:p w14:paraId="1480895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Theme="minorEastAsia" w:hAnsiTheme="minorEastAsia" w:eastAsiaTheme="minorEastAsia" w:cstheme="minorEastAsia"/>
                <w:sz w:val="21"/>
                <w:szCs w:val="21"/>
                <w:lang w:val="en-US" w:eastAsia="zh-CN"/>
              </w:rPr>
            </w:pPr>
            <w:r>
              <w:rPr>
                <w:rFonts w:ascii="宋体" w:hAnsi="宋体" w:eastAsia="宋体" w:cs="宋体"/>
                <w:kern w:val="0"/>
                <w:sz w:val="21"/>
                <w:szCs w:val="21"/>
                <w:lang w:val="en-US" w:eastAsia="zh-CN" w:bidi="ar"/>
              </w:rPr>
              <w:t>科学严谨、求真务实</w:t>
            </w:r>
          </w:p>
        </w:tc>
        <w:tc>
          <w:tcPr>
            <w:tcW w:w="362" w:type="pct"/>
            <w:vAlign w:val="center"/>
          </w:tcPr>
          <w:p w14:paraId="4584DE9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087F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continue"/>
            <w:vAlign w:val="center"/>
          </w:tcPr>
          <w:p w14:paraId="2AE04E34">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0950997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1.2 实验室初步诊断</w:t>
            </w:r>
          </w:p>
        </w:tc>
        <w:tc>
          <w:tcPr>
            <w:tcW w:w="1331" w:type="pct"/>
            <w:vAlign w:val="center"/>
          </w:tcPr>
          <w:p w14:paraId="1645F84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血常规、粪检、涂片镜检等基础实验室诊断方法；2. 采样、送检规范；3. 诊断结果解读</w:t>
            </w:r>
          </w:p>
        </w:tc>
        <w:tc>
          <w:tcPr>
            <w:tcW w:w="1087" w:type="pct"/>
            <w:vAlign w:val="center"/>
          </w:tcPr>
          <w:p w14:paraId="0495E84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规范采集病料样本；2. 进行基础实验室诊断操作；3. 解读诊断报告</w:t>
            </w:r>
          </w:p>
        </w:tc>
        <w:tc>
          <w:tcPr>
            <w:tcW w:w="679" w:type="pct"/>
            <w:vAlign w:val="center"/>
          </w:tcPr>
          <w:p w14:paraId="3C4A11C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责任担当、合规意识</w:t>
            </w:r>
          </w:p>
        </w:tc>
        <w:tc>
          <w:tcPr>
            <w:tcW w:w="362" w:type="pct"/>
            <w:vAlign w:val="center"/>
          </w:tcPr>
          <w:p w14:paraId="165BA3F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7DC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restart"/>
            <w:vAlign w:val="center"/>
          </w:tcPr>
          <w:p w14:paraId="268F321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二、动物疫病防控技术（10 学时）</w:t>
            </w:r>
          </w:p>
        </w:tc>
        <w:tc>
          <w:tcPr>
            <w:tcW w:w="692" w:type="pct"/>
            <w:vAlign w:val="center"/>
          </w:tcPr>
          <w:p w14:paraId="3F0014D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2.1 免疫防控技术</w:t>
            </w:r>
          </w:p>
        </w:tc>
        <w:tc>
          <w:tcPr>
            <w:tcW w:w="1331" w:type="pct"/>
            <w:vAlign w:val="center"/>
          </w:tcPr>
          <w:p w14:paraId="095E1CF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疫苗种类与特性；2. 免疫程序制定原则；3. 免疫效果评估方法</w:t>
            </w:r>
          </w:p>
        </w:tc>
        <w:tc>
          <w:tcPr>
            <w:tcW w:w="1087" w:type="pct"/>
            <w:vAlign w:val="center"/>
          </w:tcPr>
          <w:p w14:paraId="5A67BD0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制定针对性免疫程序；2. 评估免疫效果；3. 处理免疫失败问题</w:t>
            </w:r>
          </w:p>
        </w:tc>
        <w:tc>
          <w:tcPr>
            <w:tcW w:w="679" w:type="pct"/>
            <w:vAlign w:val="center"/>
          </w:tcPr>
          <w:p w14:paraId="5913B99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预防为主、科学防控</w:t>
            </w:r>
          </w:p>
        </w:tc>
        <w:tc>
          <w:tcPr>
            <w:tcW w:w="362" w:type="pct"/>
            <w:vAlign w:val="center"/>
          </w:tcPr>
          <w:p w14:paraId="59A2409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2137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continue"/>
            <w:vAlign w:val="center"/>
          </w:tcPr>
          <w:p w14:paraId="45674BF2">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6B88BDF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2.2 生物安全防控</w:t>
            </w:r>
          </w:p>
        </w:tc>
        <w:tc>
          <w:tcPr>
            <w:tcW w:w="1331" w:type="pct"/>
            <w:vAlign w:val="center"/>
          </w:tcPr>
          <w:p w14:paraId="45500CB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生物安全体系核心要素；2. 养殖场消毒、隔离、人员 / 车辆管理规范；3. 粪污无害化处理</w:t>
            </w:r>
          </w:p>
        </w:tc>
        <w:tc>
          <w:tcPr>
            <w:tcW w:w="1087" w:type="pct"/>
            <w:vAlign w:val="center"/>
          </w:tcPr>
          <w:p w14:paraId="2B02EFA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设计养殖场消毒与隔离方案；2. 识别生物安全隐患并提出整改建议</w:t>
            </w:r>
          </w:p>
        </w:tc>
        <w:tc>
          <w:tcPr>
            <w:tcW w:w="679" w:type="pct"/>
            <w:vAlign w:val="center"/>
          </w:tcPr>
          <w:p w14:paraId="7F82710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责任意识、生态环保</w:t>
            </w:r>
          </w:p>
        </w:tc>
        <w:tc>
          <w:tcPr>
            <w:tcW w:w="362" w:type="pct"/>
            <w:vAlign w:val="center"/>
          </w:tcPr>
          <w:p w14:paraId="28E542A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351B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continue"/>
            <w:vAlign w:val="center"/>
          </w:tcPr>
          <w:p w14:paraId="7593846D">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42287C7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2.3 药物防控基础</w:t>
            </w:r>
          </w:p>
        </w:tc>
        <w:tc>
          <w:tcPr>
            <w:tcW w:w="1331" w:type="pct"/>
            <w:vAlign w:val="center"/>
          </w:tcPr>
          <w:p w14:paraId="44434CB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兽药分类、作用机制；2. 合理用药原则（对症、剂量、休药期）；3. 耐药性防控</w:t>
            </w:r>
          </w:p>
        </w:tc>
        <w:tc>
          <w:tcPr>
            <w:tcW w:w="1087" w:type="pct"/>
            <w:vAlign w:val="center"/>
          </w:tcPr>
          <w:p w14:paraId="4D02413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按适应症选择兽药；2. 准确计算给药剂量；3. 制定药物防控方案</w:t>
            </w:r>
          </w:p>
        </w:tc>
        <w:tc>
          <w:tcPr>
            <w:tcW w:w="679" w:type="pct"/>
            <w:vAlign w:val="center"/>
          </w:tcPr>
          <w:p w14:paraId="75E328A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法治观念、合规用药</w:t>
            </w:r>
          </w:p>
        </w:tc>
        <w:tc>
          <w:tcPr>
            <w:tcW w:w="362" w:type="pct"/>
            <w:vAlign w:val="center"/>
          </w:tcPr>
          <w:p w14:paraId="7C51DA2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7795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restart"/>
            <w:vAlign w:val="center"/>
          </w:tcPr>
          <w:p w14:paraId="0EE2ACD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三、常见动物疫病防治实操（10 学时）</w:t>
            </w:r>
          </w:p>
        </w:tc>
        <w:tc>
          <w:tcPr>
            <w:tcW w:w="692" w:type="pct"/>
            <w:vAlign w:val="center"/>
          </w:tcPr>
          <w:p w14:paraId="5D63939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3.1 猪、禽主要疫病防治</w:t>
            </w:r>
          </w:p>
        </w:tc>
        <w:tc>
          <w:tcPr>
            <w:tcW w:w="1331" w:type="pct"/>
            <w:vAlign w:val="center"/>
          </w:tcPr>
          <w:p w14:paraId="25AB22D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猪瘟、非洲猪瘟、禽流感、新城疫等疫病的诊断要点；2. 针对性防控与治疗方案；3. 并发症处理</w:t>
            </w:r>
          </w:p>
        </w:tc>
        <w:tc>
          <w:tcPr>
            <w:tcW w:w="1087" w:type="pct"/>
            <w:vAlign w:val="center"/>
          </w:tcPr>
          <w:p w14:paraId="54395B6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识别猪禽常见疫病症状；2. 制定防治方案；3. 规范进行治疗操作</w:t>
            </w:r>
          </w:p>
        </w:tc>
        <w:tc>
          <w:tcPr>
            <w:tcW w:w="679" w:type="pct"/>
            <w:vAlign w:val="center"/>
          </w:tcPr>
          <w:p w14:paraId="0B78018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科学严谨、责任担当</w:t>
            </w:r>
          </w:p>
        </w:tc>
        <w:tc>
          <w:tcPr>
            <w:tcW w:w="362" w:type="pct"/>
            <w:vAlign w:val="center"/>
          </w:tcPr>
          <w:p w14:paraId="3974ABC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2F73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continue"/>
            <w:vAlign w:val="center"/>
          </w:tcPr>
          <w:p w14:paraId="253E4B71">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08AC625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3.2 牛、羊主要疫病防治</w:t>
            </w:r>
          </w:p>
        </w:tc>
        <w:tc>
          <w:tcPr>
            <w:tcW w:w="1331" w:type="pct"/>
            <w:vAlign w:val="center"/>
          </w:tcPr>
          <w:p w14:paraId="03132CD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口蹄疫、布鲁氏菌病、小反刍兽疫等疫病的诊断要点；2. 防控与治疗方案；3. 检疫与净化基础</w:t>
            </w:r>
          </w:p>
        </w:tc>
        <w:tc>
          <w:tcPr>
            <w:tcW w:w="1087" w:type="pct"/>
            <w:vAlign w:val="center"/>
          </w:tcPr>
          <w:p w14:paraId="5CA4AA7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识别牛羊常见疫病症状；2. 制定简易防治方案；3. 指导基础净化措施</w:t>
            </w:r>
          </w:p>
        </w:tc>
        <w:tc>
          <w:tcPr>
            <w:tcW w:w="679" w:type="pct"/>
            <w:vAlign w:val="center"/>
          </w:tcPr>
          <w:p w14:paraId="587C49C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敬业精神、公共卫生意识</w:t>
            </w:r>
          </w:p>
        </w:tc>
        <w:tc>
          <w:tcPr>
            <w:tcW w:w="362" w:type="pct"/>
            <w:vAlign w:val="center"/>
          </w:tcPr>
          <w:p w14:paraId="34BCDD8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6</w:t>
            </w:r>
          </w:p>
        </w:tc>
      </w:tr>
      <w:tr w14:paraId="7B09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Align w:val="center"/>
          </w:tcPr>
          <w:p w14:paraId="32545D4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四、兽药合理应用与治疗技术（4 学时）</w:t>
            </w:r>
          </w:p>
        </w:tc>
        <w:tc>
          <w:tcPr>
            <w:tcW w:w="692" w:type="pct"/>
            <w:vAlign w:val="center"/>
          </w:tcPr>
          <w:p w14:paraId="495377A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4.1 兽药使用规范与给药技术</w:t>
            </w:r>
          </w:p>
        </w:tc>
        <w:tc>
          <w:tcPr>
            <w:tcW w:w="1331" w:type="pct"/>
            <w:vAlign w:val="center"/>
          </w:tcPr>
          <w:p w14:paraId="7D4CE4E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常用给药方式（注射、口服、外用）操作规范；2. 兽药配伍禁忌；3. 用药后观察与反应处理</w:t>
            </w:r>
          </w:p>
        </w:tc>
        <w:tc>
          <w:tcPr>
            <w:tcW w:w="1087" w:type="pct"/>
            <w:vAlign w:val="center"/>
          </w:tcPr>
          <w:p w14:paraId="3D43A5E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规范进行各类给药操作；2. 识别并处理常见用药反应；3. 记录用药情况</w:t>
            </w:r>
          </w:p>
        </w:tc>
        <w:tc>
          <w:tcPr>
            <w:tcW w:w="679" w:type="pct"/>
            <w:vAlign w:val="center"/>
          </w:tcPr>
          <w:p w14:paraId="220EFBC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合规意识、严谨细致</w:t>
            </w:r>
          </w:p>
        </w:tc>
        <w:tc>
          <w:tcPr>
            <w:tcW w:w="362" w:type="pct"/>
            <w:vAlign w:val="center"/>
          </w:tcPr>
          <w:p w14:paraId="02CA573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1C02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restart"/>
            <w:vAlign w:val="center"/>
          </w:tcPr>
          <w:p w14:paraId="54C5CEF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五、重大动物疫情应急处置（4 学时）</w:t>
            </w:r>
          </w:p>
        </w:tc>
        <w:tc>
          <w:tcPr>
            <w:tcW w:w="692" w:type="pct"/>
            <w:vAlign w:val="center"/>
          </w:tcPr>
          <w:p w14:paraId="1AF993D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5.1 重大动物疫情识别与报告</w:t>
            </w:r>
          </w:p>
        </w:tc>
        <w:tc>
          <w:tcPr>
            <w:tcW w:w="1331" w:type="pct"/>
            <w:vAlign w:val="center"/>
          </w:tcPr>
          <w:p w14:paraId="56765F1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一类疫病识别要点；2. 疫情报告流程与要求；3. 《重大动物疫情应急条例》核心内容</w:t>
            </w:r>
          </w:p>
        </w:tc>
        <w:tc>
          <w:tcPr>
            <w:tcW w:w="1087" w:type="pct"/>
            <w:vAlign w:val="center"/>
          </w:tcPr>
          <w:p w14:paraId="12ABDD1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初步识别重大动物疫情；2. 规范填写疫情报告表；3. 按流程上报</w:t>
            </w:r>
          </w:p>
        </w:tc>
        <w:tc>
          <w:tcPr>
            <w:tcW w:w="679" w:type="pct"/>
            <w:vAlign w:val="center"/>
          </w:tcPr>
          <w:p w14:paraId="7B0E802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法治观念、责任担当</w:t>
            </w:r>
          </w:p>
        </w:tc>
        <w:tc>
          <w:tcPr>
            <w:tcW w:w="362" w:type="pct"/>
            <w:vAlign w:val="center"/>
          </w:tcPr>
          <w:p w14:paraId="1D26EBF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4325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846" w:type="pct"/>
            <w:vMerge w:val="continue"/>
            <w:vAlign w:val="center"/>
          </w:tcPr>
          <w:p w14:paraId="7A289D01">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135C840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5.2 疫情应急处置实操</w:t>
            </w:r>
          </w:p>
        </w:tc>
        <w:tc>
          <w:tcPr>
            <w:tcW w:w="1331" w:type="pct"/>
            <w:vAlign w:val="center"/>
          </w:tcPr>
          <w:p w14:paraId="48DEF3A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应急响应等级与处置流程；2. 扑杀、无害化处理规范；3. 疫情现场个人防护</w:t>
            </w:r>
          </w:p>
        </w:tc>
        <w:tc>
          <w:tcPr>
            <w:tcW w:w="1087" w:type="pct"/>
            <w:vAlign w:val="center"/>
          </w:tcPr>
          <w:p w14:paraId="7565C18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配合完成疫情现场隔离消毒；2. 规范进行简易无害化处理操作；3. 正确穿戴防护装备</w:t>
            </w:r>
          </w:p>
        </w:tc>
        <w:tc>
          <w:tcPr>
            <w:tcW w:w="679" w:type="pct"/>
            <w:vAlign w:val="center"/>
          </w:tcPr>
          <w:p w14:paraId="288280C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生命至上、奉献精神</w:t>
            </w:r>
          </w:p>
        </w:tc>
        <w:tc>
          <w:tcPr>
            <w:tcW w:w="362" w:type="pct"/>
            <w:vAlign w:val="center"/>
          </w:tcPr>
          <w:p w14:paraId="7E5D450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r w14:paraId="229B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6" w:type="pct"/>
            <w:vMerge w:val="restart"/>
            <w:vAlign w:val="center"/>
          </w:tcPr>
          <w:p w14:paraId="6ECCC20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六、综合实训与案例分析（4 学时）</w:t>
            </w:r>
          </w:p>
        </w:tc>
        <w:tc>
          <w:tcPr>
            <w:tcW w:w="692" w:type="pct"/>
            <w:vAlign w:val="center"/>
          </w:tcPr>
          <w:p w14:paraId="798E5CB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6.1 典型疫病防治案例分析</w:t>
            </w:r>
          </w:p>
        </w:tc>
        <w:tc>
          <w:tcPr>
            <w:tcW w:w="1331" w:type="pct"/>
            <w:vAlign w:val="center"/>
          </w:tcPr>
          <w:p w14:paraId="1DE572B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复杂疫病诊断与防治案例；2. 防治方案优化逻辑；3. 行业常见问题与解决方案</w:t>
            </w:r>
          </w:p>
        </w:tc>
        <w:tc>
          <w:tcPr>
            <w:tcW w:w="1087" w:type="pct"/>
            <w:vAlign w:val="center"/>
          </w:tcPr>
          <w:p w14:paraId="62A1D38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分析复杂案例中的疫病诊断难点；2. 优化防治方案；3. 总结经验教训</w:t>
            </w:r>
          </w:p>
        </w:tc>
        <w:tc>
          <w:tcPr>
            <w:tcW w:w="679" w:type="pct"/>
            <w:vAlign w:val="center"/>
          </w:tcPr>
          <w:p w14:paraId="17DF803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反思意识、创新思维</w:t>
            </w:r>
          </w:p>
        </w:tc>
        <w:tc>
          <w:tcPr>
            <w:tcW w:w="362" w:type="pct"/>
            <w:vAlign w:val="center"/>
          </w:tcPr>
          <w:p w14:paraId="559B742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2</w:t>
            </w:r>
          </w:p>
        </w:tc>
      </w:tr>
      <w:tr w14:paraId="6834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846" w:type="pct"/>
            <w:vMerge w:val="continue"/>
            <w:vAlign w:val="center"/>
          </w:tcPr>
          <w:p w14:paraId="689D8665">
            <w:pPr>
              <w:snapToGrid w:val="0"/>
              <w:ind w:left="0" w:leftChars="0" w:right="0" w:rightChars="0" w:firstLine="0" w:firstLineChars="0"/>
              <w:jc w:val="center"/>
              <w:rPr>
                <w:rFonts w:hint="eastAsia" w:ascii="宋体" w:hAnsi="宋体" w:eastAsia="宋体" w:cs="宋体"/>
                <w:sz w:val="21"/>
                <w:szCs w:val="21"/>
                <w:lang w:val="en-US" w:eastAsia="zh-CN"/>
              </w:rPr>
            </w:pPr>
          </w:p>
        </w:tc>
        <w:tc>
          <w:tcPr>
            <w:tcW w:w="692" w:type="pct"/>
            <w:vAlign w:val="center"/>
          </w:tcPr>
          <w:p w14:paraId="2526CFC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6.2 综合防治方案设计与考核</w:t>
            </w:r>
          </w:p>
        </w:tc>
        <w:tc>
          <w:tcPr>
            <w:tcW w:w="1331" w:type="pct"/>
            <w:vAlign w:val="center"/>
          </w:tcPr>
          <w:p w14:paraId="2CC9C41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整合前序核心技能（诊断、防控、治疗、应急）</w:t>
            </w:r>
          </w:p>
        </w:tc>
        <w:tc>
          <w:tcPr>
            <w:tcW w:w="1087" w:type="pct"/>
            <w:vAlign w:val="center"/>
          </w:tcPr>
          <w:p w14:paraId="7C68843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1. 团队协作完成养殖场综合防治方案设计；2. 进行方案答辩与实操考核</w:t>
            </w:r>
          </w:p>
        </w:tc>
        <w:tc>
          <w:tcPr>
            <w:tcW w:w="679" w:type="pct"/>
            <w:vAlign w:val="center"/>
          </w:tcPr>
          <w:p w14:paraId="61FB40A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团队协作、职业素养</w:t>
            </w:r>
          </w:p>
        </w:tc>
        <w:tc>
          <w:tcPr>
            <w:tcW w:w="362" w:type="pct"/>
            <w:vAlign w:val="center"/>
          </w:tcPr>
          <w:p w14:paraId="42EEFFA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4</w:t>
            </w:r>
          </w:p>
        </w:tc>
      </w:tr>
    </w:tbl>
    <w:p w14:paraId="1E3CCE53">
      <w:pPr>
        <w:pStyle w:val="3"/>
        <w:bidi w:val="0"/>
        <w:rPr>
          <w:rFonts w:hint="eastAsia"/>
          <w:lang w:val="en-US" w:eastAsia="zh-CN"/>
        </w:rPr>
      </w:pPr>
      <w:r>
        <w:rPr>
          <w:rFonts w:hint="eastAsia"/>
          <w:lang w:val="en-US" w:eastAsia="zh-CN"/>
        </w:rPr>
        <w:t>六、课程考核与评价</w:t>
      </w:r>
    </w:p>
    <w:p w14:paraId="37AB2F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2F54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76F87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9D2FB4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BDB8E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33454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096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94ED8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499" w:type="dxa"/>
            <w:tcBorders>
              <w:left w:val="single" w:color="auto" w:sz="4" w:space="0"/>
              <w:right w:val="single" w:color="auto" w:sz="4" w:space="0"/>
            </w:tcBorders>
            <w:vAlign w:val="center"/>
          </w:tcPr>
          <w:p w14:paraId="39F44E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32165F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6756BEE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1E0ADA4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6C47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B51C99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2A3DF0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108" w:type="dxa"/>
            <w:tcBorders>
              <w:left w:val="single" w:color="auto" w:sz="4" w:space="0"/>
              <w:right w:val="single" w:color="auto" w:sz="4" w:space="0"/>
            </w:tcBorders>
            <w:vAlign w:val="center"/>
          </w:tcPr>
          <w:p w14:paraId="1787D95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43BB9F6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9FFD49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259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AF3DAE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662373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4566258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以技能操作和仪器设备认知方式进行</w:t>
            </w:r>
          </w:p>
        </w:tc>
        <w:tc>
          <w:tcPr>
            <w:tcW w:w="1311" w:type="dxa"/>
            <w:tcBorders>
              <w:left w:val="single" w:color="auto" w:sz="4" w:space="0"/>
              <w:right w:val="single" w:color="auto" w:sz="4" w:space="0"/>
            </w:tcBorders>
            <w:vAlign w:val="center"/>
          </w:tcPr>
          <w:p w14:paraId="433890D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599059B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以学生动手能力和对主要仪器设备认识的能力进行考核</w:t>
            </w:r>
          </w:p>
        </w:tc>
      </w:tr>
      <w:tr w14:paraId="0C15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255AB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5600083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1917A0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0DF683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3402B4FF">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23A9FE65">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09DEF1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948B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ACEB4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2E221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生态文明”、“绿色环保”的课程思政价值链，结合中国科学家以及行业畜牧师的经历，将生态文明意识和绿色环保意识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BF765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9AA19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307D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040154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AACF0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575"/>
        <w:gridCol w:w="4063"/>
        <w:gridCol w:w="2471"/>
      </w:tblGrid>
      <w:tr w14:paraId="15FB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89" w:type="pct"/>
            <w:noWrap w:val="0"/>
            <w:vAlign w:val="center"/>
          </w:tcPr>
          <w:p w14:paraId="602C5135">
            <w:pPr>
              <w:pStyle w:val="9"/>
              <w:ind w:firstLine="0" w:firstLineChars="0"/>
              <w:jc w:val="center"/>
              <w:rPr>
                <w:rFonts w:ascii="宋体" w:hAnsi="宋体" w:cs="宋体"/>
                <w:iCs/>
                <w:sz w:val="21"/>
                <w:szCs w:val="21"/>
              </w:rPr>
            </w:pPr>
            <w:r>
              <w:rPr>
                <w:rFonts w:hint="eastAsia" w:ascii="宋体" w:hAnsi="宋体" w:cs="宋体"/>
                <w:iCs/>
                <w:sz w:val="21"/>
                <w:szCs w:val="21"/>
              </w:rPr>
              <w:t>序号</w:t>
            </w:r>
          </w:p>
        </w:tc>
        <w:tc>
          <w:tcPr>
            <w:tcW w:w="1303" w:type="pct"/>
            <w:noWrap w:val="0"/>
            <w:vAlign w:val="center"/>
          </w:tcPr>
          <w:p w14:paraId="2684B246">
            <w:pPr>
              <w:pStyle w:val="9"/>
              <w:ind w:firstLine="0" w:firstLineChars="0"/>
              <w:jc w:val="center"/>
              <w:rPr>
                <w:rFonts w:ascii="宋体" w:hAnsi="宋体" w:cs="宋体"/>
                <w:iCs/>
                <w:sz w:val="21"/>
                <w:szCs w:val="21"/>
              </w:rPr>
            </w:pPr>
            <w:r>
              <w:rPr>
                <w:rFonts w:hint="eastAsia" w:ascii="宋体" w:hAnsi="宋体" w:cs="宋体"/>
                <w:iCs/>
                <w:sz w:val="21"/>
                <w:szCs w:val="21"/>
              </w:rPr>
              <w:t>名称</w:t>
            </w:r>
          </w:p>
        </w:tc>
        <w:tc>
          <w:tcPr>
            <w:tcW w:w="2056" w:type="pct"/>
            <w:noWrap w:val="0"/>
            <w:vAlign w:val="center"/>
          </w:tcPr>
          <w:p w14:paraId="7E7D0418">
            <w:pPr>
              <w:pStyle w:val="9"/>
              <w:ind w:firstLine="0" w:firstLineChars="0"/>
              <w:jc w:val="center"/>
              <w:rPr>
                <w:rFonts w:ascii="宋体" w:hAnsi="宋体" w:cs="宋体"/>
                <w:iCs/>
                <w:sz w:val="21"/>
                <w:szCs w:val="21"/>
              </w:rPr>
            </w:pPr>
            <w:r>
              <w:rPr>
                <w:rFonts w:hint="eastAsia" w:ascii="宋体" w:hAnsi="宋体" w:cs="宋体"/>
                <w:iCs/>
                <w:sz w:val="21"/>
                <w:szCs w:val="21"/>
              </w:rPr>
              <w:t>基本配置要求</w:t>
            </w:r>
          </w:p>
        </w:tc>
        <w:tc>
          <w:tcPr>
            <w:tcW w:w="1250" w:type="pct"/>
            <w:noWrap w:val="0"/>
            <w:vAlign w:val="center"/>
          </w:tcPr>
          <w:p w14:paraId="50A5CF2D">
            <w:pPr>
              <w:pStyle w:val="9"/>
              <w:ind w:firstLine="0" w:firstLineChars="0"/>
              <w:jc w:val="center"/>
              <w:rPr>
                <w:rFonts w:ascii="宋体" w:hAnsi="宋体" w:cs="宋体"/>
                <w:iCs/>
                <w:sz w:val="21"/>
                <w:szCs w:val="21"/>
              </w:rPr>
            </w:pPr>
            <w:r>
              <w:rPr>
                <w:rFonts w:hint="eastAsia" w:ascii="宋体" w:hAnsi="宋体" w:cs="宋体"/>
                <w:iCs/>
                <w:sz w:val="21"/>
                <w:szCs w:val="21"/>
              </w:rPr>
              <w:t>功能说明</w:t>
            </w:r>
          </w:p>
        </w:tc>
      </w:tr>
      <w:tr w14:paraId="73E6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389" w:type="pct"/>
            <w:noWrap w:val="0"/>
            <w:vAlign w:val="center"/>
          </w:tcPr>
          <w:p w14:paraId="15377ED9">
            <w:pPr>
              <w:pStyle w:val="9"/>
              <w:ind w:firstLine="0" w:firstLineChars="0"/>
              <w:jc w:val="center"/>
              <w:rPr>
                <w:rFonts w:ascii="宋体" w:hAnsi="宋体" w:cs="宋体"/>
                <w:iCs/>
                <w:sz w:val="21"/>
                <w:szCs w:val="21"/>
              </w:rPr>
            </w:pPr>
            <w:r>
              <w:rPr>
                <w:rFonts w:hint="eastAsia" w:ascii="宋体" w:hAnsi="宋体" w:cs="宋体"/>
                <w:iCs/>
                <w:sz w:val="21"/>
                <w:szCs w:val="21"/>
              </w:rPr>
              <w:t>1</w:t>
            </w:r>
          </w:p>
        </w:tc>
        <w:tc>
          <w:tcPr>
            <w:tcW w:w="1303" w:type="pct"/>
            <w:noWrap w:val="0"/>
            <w:vAlign w:val="center"/>
          </w:tcPr>
          <w:p w14:paraId="49260FD3">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56" w:type="pct"/>
            <w:noWrap w:val="0"/>
            <w:vAlign w:val="center"/>
          </w:tcPr>
          <w:p w14:paraId="51DD57CA">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50" w:type="pct"/>
            <w:noWrap w:val="0"/>
            <w:vAlign w:val="center"/>
          </w:tcPr>
          <w:p w14:paraId="4D306247">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5F18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89" w:type="pct"/>
            <w:noWrap w:val="0"/>
            <w:vAlign w:val="center"/>
          </w:tcPr>
          <w:p w14:paraId="23B45EC2">
            <w:pPr>
              <w:pStyle w:val="9"/>
              <w:ind w:firstLine="0" w:firstLineChars="0"/>
              <w:jc w:val="center"/>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03" w:type="pct"/>
            <w:noWrap w:val="0"/>
            <w:vAlign w:val="center"/>
          </w:tcPr>
          <w:p w14:paraId="03CC2449">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微生物实训室</w:t>
            </w:r>
          </w:p>
        </w:tc>
        <w:tc>
          <w:tcPr>
            <w:tcW w:w="2056" w:type="pct"/>
            <w:noWrap w:val="0"/>
            <w:vAlign w:val="center"/>
          </w:tcPr>
          <w:p w14:paraId="00AB966A">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显微镜</w:t>
            </w:r>
          </w:p>
        </w:tc>
        <w:tc>
          <w:tcPr>
            <w:tcW w:w="1250" w:type="pct"/>
            <w:noWrap w:val="0"/>
            <w:vAlign w:val="center"/>
          </w:tcPr>
          <w:p w14:paraId="75ECBF44">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检查病原微生物</w:t>
            </w:r>
          </w:p>
        </w:tc>
      </w:tr>
    </w:tbl>
    <w:p w14:paraId="4C847D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4E123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69E93C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p w14:paraId="4D9DD33E">
      <w:pPr>
        <w:rPr>
          <w:rFonts w:hint="eastAsia" w:ascii="宋体" w:hAnsi="宋体" w:eastAsia="宋体" w:cs="宋体"/>
          <w:sz w:val="24"/>
          <w:szCs w:val="24"/>
          <w:lang w:val="en-US" w:eastAsia="zh-CN"/>
        </w:rPr>
      </w:pPr>
    </w:p>
    <w:p w14:paraId="549873D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7F0E55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FC889E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D4A8CD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4534BE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C56EE33">
      <w:pPr>
        <w:pStyle w:val="2"/>
        <w:bidi w:val="0"/>
        <w:rPr>
          <w:rFonts w:hint="eastAsia"/>
          <w:lang w:val="en-US" w:eastAsia="zh-CN"/>
        </w:rPr>
      </w:pPr>
      <w:bookmarkStart w:id="56" w:name="_Toc4808"/>
      <w:bookmarkStart w:id="57" w:name="_Toc2949"/>
      <w:r>
        <w:rPr>
          <w:rFonts w:hint="eastAsia"/>
          <w:lang w:val="en-US" w:eastAsia="zh-CN"/>
        </w:rPr>
        <w:t>《动物解剖与微生物综合实训》课程标准</w:t>
      </w:r>
      <w:bookmarkEnd w:id="56"/>
      <w:bookmarkEnd w:id="57"/>
    </w:p>
    <w:p w14:paraId="58D325AB">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0063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A5B34E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4965E5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动物解剖与微生物综合实训</w:t>
            </w:r>
          </w:p>
        </w:tc>
        <w:tc>
          <w:tcPr>
            <w:tcW w:w="975" w:type="dxa"/>
            <w:tcBorders>
              <w:top w:val="single" w:color="auto" w:sz="4" w:space="0"/>
              <w:left w:val="single" w:color="auto" w:sz="4" w:space="0"/>
              <w:bottom w:val="single" w:color="auto" w:sz="4" w:space="0"/>
              <w:right w:val="single" w:color="auto" w:sz="4" w:space="0"/>
            </w:tcBorders>
            <w:vAlign w:val="center"/>
          </w:tcPr>
          <w:p w14:paraId="1E78700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B83293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xcxm24030</w:t>
            </w:r>
          </w:p>
        </w:tc>
      </w:tr>
      <w:tr w14:paraId="642C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C5D432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BCBA3EC">
            <w:pPr>
              <w:jc w:val="center"/>
              <w:rPr>
                <w:rFonts w:hint="default" w:eastAsiaTheme="minorEastAsia"/>
                <w:sz w:val="21"/>
                <w:szCs w:val="21"/>
                <w:lang w:val="en-US" w:eastAsia="zh-CN"/>
              </w:rPr>
            </w:pPr>
            <w:r>
              <w:rPr>
                <w:rFonts w:hint="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12859113">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234488D">
            <w:pPr>
              <w:jc w:val="center"/>
              <w:rPr>
                <w:rFonts w:hint="eastAsia"/>
                <w:sz w:val="21"/>
                <w:szCs w:val="21"/>
                <w:lang w:val="en-US" w:eastAsia="zh-CN"/>
              </w:rPr>
            </w:pPr>
            <w:r>
              <w:rPr>
                <w:rFonts w:hint="eastAsia"/>
                <w:sz w:val="21"/>
                <w:szCs w:val="21"/>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4728DC0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005384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1学分</w:t>
            </w:r>
          </w:p>
        </w:tc>
      </w:tr>
      <w:tr w14:paraId="1044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8CE3E4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B8299F6">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畜牧兽医专业</w:t>
            </w:r>
          </w:p>
        </w:tc>
      </w:tr>
      <w:tr w14:paraId="6924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95110CA">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8449FB0">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20C6DB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F76325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C6FD4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0F9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619267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93A313B">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动物解剖生理等</w:t>
            </w:r>
          </w:p>
        </w:tc>
      </w:tr>
      <w:tr w14:paraId="356C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9966CB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E014FF6">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动物病理、</w:t>
            </w:r>
            <w:r>
              <w:rPr>
                <w:rFonts w:hint="eastAsia" w:ascii="Arial" w:hAnsi="Arial" w:eastAsia="宋体" w:cs="Arial"/>
                <w:color w:val="auto"/>
                <w:sz w:val="21"/>
                <w:szCs w:val="21"/>
                <w:lang w:val="en-US" w:eastAsia="zh-CN"/>
              </w:rPr>
              <w:t>动物药理、</w:t>
            </w:r>
            <w:r>
              <w:rPr>
                <w:rFonts w:hint="default" w:ascii="Arial" w:hAnsi="Arial" w:eastAsia="宋体" w:cs="Arial"/>
                <w:color w:val="auto"/>
                <w:sz w:val="21"/>
                <w:szCs w:val="21"/>
                <w:lang w:val="en-US" w:eastAsia="zh-CN"/>
              </w:rPr>
              <w:t>动物临床诊疗</w:t>
            </w:r>
            <w:r>
              <w:rPr>
                <w:rFonts w:hint="eastAsia" w:ascii="Arial" w:hAnsi="Arial" w:eastAsia="宋体" w:cs="Arial"/>
                <w:color w:val="auto"/>
                <w:sz w:val="21"/>
                <w:szCs w:val="21"/>
                <w:lang w:val="en-US" w:eastAsia="zh-CN"/>
              </w:rPr>
              <w:t>、动物传染病</w:t>
            </w:r>
            <w:r>
              <w:rPr>
                <w:rFonts w:hint="default" w:ascii="Arial" w:hAnsi="Arial" w:eastAsia="宋体" w:cs="Arial"/>
                <w:color w:val="auto"/>
                <w:sz w:val="21"/>
                <w:szCs w:val="21"/>
                <w:lang w:val="en-US" w:eastAsia="zh-CN"/>
              </w:rPr>
              <w:t>等</w:t>
            </w:r>
          </w:p>
        </w:tc>
      </w:tr>
      <w:tr w14:paraId="1935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CD0C51B">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7A0C5A1">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动物微生物与免疫技术</w:t>
            </w:r>
            <w:r>
              <w:rPr>
                <w:rFonts w:ascii="Arial" w:hAnsi="Arial" w:eastAsia="宋体" w:cs="Arial"/>
                <w:sz w:val="21"/>
                <w:szCs w:val="21"/>
              </w:rPr>
              <w:t>》（</w:t>
            </w:r>
            <w:r>
              <w:rPr>
                <w:rFonts w:hint="eastAsia" w:ascii="Arial" w:hAnsi="Arial" w:eastAsia="宋体" w:cs="Arial"/>
                <w:sz w:val="21"/>
                <w:szCs w:val="21"/>
                <w:lang w:val="en-US" w:eastAsia="zh-CN"/>
              </w:rPr>
              <w:t>作者李舫</w:t>
            </w:r>
            <w:r>
              <w:rPr>
                <w:rFonts w:hint="eastAsia" w:ascii="Arial" w:hAnsi="Arial" w:eastAsia="宋体" w:cs="Arial"/>
                <w:sz w:val="21"/>
                <w:szCs w:val="21"/>
              </w:rPr>
              <w:t>，</w:t>
            </w:r>
            <w:r>
              <w:rPr>
                <w:rFonts w:hint="eastAsia" w:ascii="Arial" w:hAnsi="Arial" w:eastAsia="宋体" w:cs="Arial"/>
                <w:sz w:val="21"/>
                <w:szCs w:val="21"/>
                <w:lang w:val="en-US" w:eastAsia="zh-CN"/>
              </w:rPr>
              <w:t>出版社中国农业出版社，出版年份2025，ISBN978-7-109-33265-2号</w:t>
            </w:r>
            <w:r>
              <w:rPr>
                <w:rFonts w:ascii="Arial" w:hAnsi="Arial" w:eastAsia="宋体" w:cs="Arial"/>
                <w:sz w:val="21"/>
                <w:szCs w:val="21"/>
              </w:rPr>
              <w:t>)</w:t>
            </w:r>
          </w:p>
        </w:tc>
      </w:tr>
      <w:tr w14:paraId="511B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424DE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A0C4792">
            <w:pPr>
              <w:widowControl/>
              <w:jc w:val="left"/>
              <w:rPr>
                <w:rFonts w:hint="default" w:eastAsiaTheme="minorEastAsia"/>
                <w:sz w:val="21"/>
                <w:szCs w:val="21"/>
                <w:lang w:val="en-US" w:eastAsia="zh-CN"/>
              </w:rPr>
            </w:pPr>
            <w:r>
              <w:rPr>
                <w:rFonts w:hint="eastAsia"/>
                <w:sz w:val="21"/>
                <w:szCs w:val="21"/>
                <w:lang w:val="en-US" w:eastAsia="zh-CN"/>
              </w:rPr>
              <w:t>房新 程玮</w:t>
            </w:r>
          </w:p>
        </w:tc>
        <w:tc>
          <w:tcPr>
            <w:tcW w:w="975" w:type="dxa"/>
            <w:tcBorders>
              <w:top w:val="single" w:color="auto" w:sz="4" w:space="0"/>
              <w:left w:val="single" w:color="auto" w:sz="4" w:space="0"/>
              <w:bottom w:val="single" w:color="auto" w:sz="4" w:space="0"/>
              <w:right w:val="single" w:color="auto" w:sz="4" w:space="0"/>
            </w:tcBorders>
            <w:vAlign w:val="center"/>
          </w:tcPr>
          <w:p w14:paraId="21453BF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70B5CF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CAA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53E56D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7802A32">
            <w:pPr>
              <w:widowControl/>
              <w:jc w:val="left"/>
              <w:rPr>
                <w:rFonts w:hint="eastAsia"/>
                <w:sz w:val="21"/>
                <w:szCs w:val="21"/>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839F55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7AB1916">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646223D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9859101">
      <w:pPr>
        <w:pStyle w:val="3"/>
        <w:bidi w:val="0"/>
        <w:rPr>
          <w:rFonts w:hint="eastAsia"/>
          <w:lang w:val="en-US" w:eastAsia="zh-CN"/>
        </w:rPr>
      </w:pPr>
      <w:r>
        <w:rPr>
          <w:rFonts w:hint="eastAsia"/>
          <w:lang w:val="en-US" w:eastAsia="zh-CN"/>
        </w:rPr>
        <w:t>二、课程定位</w:t>
      </w:r>
    </w:p>
    <w:p w14:paraId="7F7EAC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课程以畜禽及伴侣动物解剖识别、微生物检测与疫病防控岗位需求为导向，融合解剖实操与微生物实验核心技能，培养学生精准识别动物机体结构、规范开展微生物分离鉴定、初步研判疫病相关微生物特征的综合职业能力，是打通解剖学与微生物学理论关联、实现“形态认知 - 微观检测 - 应用实操”一体化培养的关键课程，对提升学生岗位适配性、职业综合素养具有重要支撑作用。</w:t>
      </w:r>
    </w:p>
    <w:p w14:paraId="3C35847A">
      <w:pPr>
        <w:pStyle w:val="3"/>
        <w:bidi w:val="0"/>
        <w:rPr>
          <w:rFonts w:hint="eastAsia"/>
          <w:lang w:val="en-US" w:eastAsia="zh-CN"/>
        </w:rPr>
      </w:pPr>
      <w:r>
        <w:rPr>
          <w:rFonts w:hint="eastAsia"/>
          <w:lang w:val="en-US" w:eastAsia="zh-CN"/>
        </w:rPr>
        <w:t>三、课程设计思路</w:t>
      </w:r>
    </w:p>
    <w:p w14:paraId="283EA7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本课程遵循“岗位需求牵引、学科融合赋能、能力递进培养”的设计理念，打破传统解剖与微生物实训课程分立教学的模式，构建“基础实操 - 专项技能 - 综合应用”三级实训体系，实现两门学科知识与技能的有机衔接。</w:t>
      </w:r>
    </w:p>
    <w:p w14:paraId="59D01E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实践过程中，</w:t>
      </w:r>
      <w:r>
        <w:rPr>
          <w:rFonts w:hint="eastAsia" w:asciiTheme="minorEastAsia" w:hAnsiTheme="minorEastAsia" w:eastAsiaTheme="minorEastAsia" w:cstheme="minorEastAsia"/>
          <w:sz w:val="24"/>
          <w:szCs w:val="24"/>
          <w:lang w:val="en-US" w:eastAsia="zh-CN"/>
        </w:rPr>
        <w:t>将课程内容整合为</w:t>
      </w:r>
      <w:r>
        <w:rPr>
          <w:rFonts w:hint="eastAsia" w:asciiTheme="minorEastAsia" w:hAnsiTheme="minorEastAsia" w:cstheme="minorEastAsia"/>
          <w:sz w:val="24"/>
          <w:szCs w:val="24"/>
          <w:lang w:val="en-US" w:eastAsia="zh-CN"/>
        </w:rPr>
        <w:t>显微镜使用与细菌形态观察</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运动系统识别</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主要器官组织结构观察</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细菌分离、移植等内容</w:t>
      </w:r>
      <w:r>
        <w:rPr>
          <w:rFonts w:hint="eastAsia" w:asciiTheme="minorEastAsia" w:hAnsiTheme="minorEastAsia" w:eastAsiaTheme="minorEastAsia" w:cstheme="minorEastAsia"/>
          <w:sz w:val="24"/>
          <w:szCs w:val="24"/>
          <w:lang w:val="en-US" w:eastAsia="zh-CN"/>
        </w:rPr>
        <w:t>，确保实训内容与岗位实际工作高度契合。其次，采用“理论回顾 - 示范讲解 - 分组实操 - 纠错提升 - 综合复盘”的教学流程，依托解剖实验室、微生物实验室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结合真实畜禽样本、模拟疫病案例，营造沉浸式实训场景，引导学生从“形态认知”向“微观分析”延伸，提升综合应用能力。</w:t>
      </w:r>
    </w:p>
    <w:p w14:paraId="1BEA63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职业院校技能大赛、大学生创新创业大赛等相关内容，推动“岗课赛证”融通培养。课程思政方面，挖掘</w:t>
      </w:r>
      <w:r>
        <w:rPr>
          <w:rFonts w:hint="eastAsia" w:asciiTheme="minorEastAsia" w:hAnsiTheme="minorEastAsia" w:cstheme="minorEastAsia"/>
          <w:sz w:val="24"/>
          <w:szCs w:val="24"/>
          <w:lang w:val="en-US" w:eastAsia="zh-CN"/>
        </w:rPr>
        <w:t>微生物学</w:t>
      </w:r>
      <w:r>
        <w:rPr>
          <w:rFonts w:hint="eastAsia" w:asciiTheme="minorEastAsia" w:hAnsiTheme="minorEastAsia" w:eastAsiaTheme="minorEastAsia" w:cstheme="minorEastAsia"/>
          <w:sz w:val="24"/>
          <w:szCs w:val="24"/>
          <w:lang w:val="en-US" w:eastAsia="zh-CN"/>
        </w:rPr>
        <w:t>领域的科学家精神、兽医职业道德、动物福利理念、生态文明意识等思政元素，通过讲述我国畜牧兽医事业发展成就、行业模范事迹等，培养学生“知农爱农、强牧兴牧”的家国情怀和“精益求精、尊重生命”的职业精神。</w:t>
      </w:r>
    </w:p>
    <w:p w14:paraId="2B870FC5">
      <w:pPr>
        <w:pStyle w:val="3"/>
        <w:bidi w:val="0"/>
        <w:rPr>
          <w:rFonts w:hint="eastAsia"/>
          <w:lang w:val="en-US" w:eastAsia="zh-CN"/>
        </w:rPr>
      </w:pPr>
      <w:r>
        <w:rPr>
          <w:rFonts w:hint="eastAsia"/>
          <w:lang w:val="en-US" w:eastAsia="zh-CN"/>
        </w:rPr>
        <w:t>四、课程目标</w:t>
      </w:r>
    </w:p>
    <w:p w14:paraId="56B436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40127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1.规范操作显微镜，制作细菌涂片并染色，观察细菌形态结构，记录观察结果。</w:t>
      </w:r>
    </w:p>
    <w:p w14:paraId="06263F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2.在动物标本（或解剖标本）上，准确指认并标注全身主要骨关节、骨性标志、主要肌肉及肌性标志，完成教师现场考核。</w:t>
      </w:r>
    </w:p>
    <w:p w14:paraId="06CB08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3. 观察主要器官组织切片，绘制典型组织结构简图，描述各器官组织的细胞形态与排列特点。</w:t>
      </w:r>
    </w:p>
    <w:p w14:paraId="3BFA3D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4. 从样品中分离细菌，进行移植接种，培养后观察并记录细菌的菌落特征与培养特性，分析实验结果</w:t>
      </w:r>
    </w:p>
    <w:p w14:paraId="2C9D2F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5CF3C6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1.熟练应用显微镜，完成培养基制备、灭菌消毒、微生物接种、染色观察等基础实验操作，准确判断实验结果。</w:t>
      </w:r>
    </w:p>
    <w:p w14:paraId="5FAE47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2.能熟练识别运动系统的骨骼、肌肉及关节部位。</w:t>
      </w:r>
    </w:p>
    <w:p w14:paraId="33FA17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3. 结合理论讲解内容，熟练分辨各脏器在显微镜下的主要结构。</w:t>
      </w:r>
    </w:p>
    <w:p w14:paraId="200B0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4. 能完成细菌的培养、繁殖、并进行疫病鉴别。</w:t>
      </w:r>
    </w:p>
    <w:p w14:paraId="456E2C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shd w:val="clear" w:fill="FFFFFF"/>
          <w:lang w:val="en-US" w:eastAsia="zh-CN"/>
        </w:rPr>
      </w:pPr>
      <w:r>
        <w:rPr>
          <w:rFonts w:hint="eastAsia" w:ascii="Segoe UI" w:hAnsi="Segoe UI" w:eastAsia="Segoe UI" w:cs="Segoe UI"/>
          <w:i w:val="0"/>
          <w:iCs w:val="0"/>
          <w:caps w:val="0"/>
          <w:spacing w:val="0"/>
          <w:sz w:val="24"/>
          <w:szCs w:val="24"/>
          <w:shd w:val="clear" w:fill="FFFFFF"/>
          <w:lang w:val="en-US" w:eastAsia="zh-CN"/>
        </w:rPr>
        <w:t>5.能熟练完成培养基制备、灭菌消毒、微生物接种、染色观察等基础实验操作，准确判断实验结果。</w:t>
      </w:r>
    </w:p>
    <w:p w14:paraId="0D5E66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70A30E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培养学生敬畏生命、爱护动物、严谨认真的科学态度和职业道德。</w:t>
      </w:r>
    </w:p>
    <w:p w14:paraId="1EC192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培养学生吃苦耐劳、团队协作、沟通表达的能力和良好的实验习惯。</w:t>
      </w:r>
    </w:p>
    <w:p w14:paraId="56C66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培养学生分析问题、解决问题的逻辑思维能力和实践操作中的安全意识。</w:t>
      </w:r>
    </w:p>
    <w:p w14:paraId="2DBD15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培养学生对畜牧兽医专业的认同感和从事本行业工作的初步兴趣与信心。</w:t>
      </w:r>
    </w:p>
    <w:p w14:paraId="241E7D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436DE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生命教育：引导学生理解生命的神圣与可贵，树立尊重生命、关爱</w:t>
      </w:r>
      <w:r>
        <w:rPr>
          <w:rFonts w:hint="eastAsia" w:asciiTheme="minorEastAsia" w:hAnsiTheme="minorEastAsia" w:cstheme="minorEastAsia"/>
          <w:sz w:val="24"/>
          <w:szCs w:val="24"/>
          <w:lang w:val="en-US" w:eastAsia="zh-CN"/>
        </w:rPr>
        <w:t>生</w:t>
      </w:r>
      <w:r>
        <w:rPr>
          <w:rFonts w:hint="eastAsia" w:asciiTheme="minorEastAsia" w:hAnsiTheme="minorEastAsia" w:eastAsiaTheme="minorEastAsia" w:cstheme="minorEastAsia"/>
          <w:sz w:val="24"/>
          <w:szCs w:val="24"/>
          <w:lang w:val="en-US" w:eastAsia="zh-CN"/>
        </w:rPr>
        <w:t>物的职业理念，培养仁爱之心。</w:t>
      </w:r>
    </w:p>
    <w:p w14:paraId="0C1165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科学精神：通过</w:t>
      </w:r>
      <w:r>
        <w:rPr>
          <w:rFonts w:hint="eastAsia" w:asciiTheme="minorEastAsia" w:hAnsiTheme="minorEastAsia" w:cstheme="minorEastAsia"/>
          <w:sz w:val="24"/>
          <w:szCs w:val="24"/>
          <w:lang w:val="en-US" w:eastAsia="zh-CN"/>
        </w:rPr>
        <w:t>微生物</w:t>
      </w:r>
      <w:r>
        <w:rPr>
          <w:rFonts w:hint="eastAsia" w:asciiTheme="minorEastAsia" w:hAnsiTheme="minorEastAsia" w:eastAsiaTheme="minorEastAsia" w:cstheme="minorEastAsia"/>
          <w:sz w:val="24"/>
          <w:szCs w:val="24"/>
          <w:lang w:val="en-US" w:eastAsia="zh-CN"/>
        </w:rPr>
        <w:t>发现史和实验探究，培养学生求真务实、严谨细致、勇于探索的科学精神。</w:t>
      </w:r>
    </w:p>
    <w:p w14:paraId="20B3F6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工匠精神：在</w:t>
      </w:r>
      <w:r>
        <w:rPr>
          <w:rFonts w:hint="eastAsia" w:asciiTheme="minorEastAsia" w:hAnsiTheme="minorEastAsia" w:cstheme="minorEastAsia"/>
          <w:sz w:val="24"/>
          <w:szCs w:val="24"/>
          <w:lang w:val="en-US" w:eastAsia="zh-CN"/>
        </w:rPr>
        <w:t>微生物实训</w:t>
      </w:r>
      <w:r>
        <w:rPr>
          <w:rFonts w:hint="eastAsia" w:asciiTheme="minorEastAsia" w:hAnsiTheme="minorEastAsia" w:eastAsiaTheme="minorEastAsia" w:cstheme="minorEastAsia"/>
          <w:sz w:val="24"/>
          <w:szCs w:val="24"/>
          <w:lang w:val="en-US" w:eastAsia="zh-CN"/>
        </w:rPr>
        <w:t>实验中，追求精准、规范、精益求精，培育一丝不苟的工匠品质。</w:t>
      </w:r>
    </w:p>
    <w:p w14:paraId="02EA0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职业道德：树立“爱岗敬业、诚实守信、遵纪守法”的兽医职业道德观，明确行业行为规范和社会责任。</w:t>
      </w:r>
    </w:p>
    <w:p w14:paraId="534D4A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家国情怀：结合我国现代畜牧业发展成就、动物疫病防控重大贡献案例，增强学生的民族自豪感和“学农报国”的使命感。</w:t>
      </w:r>
    </w:p>
    <w:p w14:paraId="7197D2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 生态文明：理解健康养殖、动物福利与生态环境保护的关系，树立绿色、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p w14:paraId="118990A5">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81"/>
        <w:gridCol w:w="1715"/>
        <w:gridCol w:w="1617"/>
        <w:gridCol w:w="2058"/>
        <w:gridCol w:w="1178"/>
      </w:tblGrid>
      <w:tr w14:paraId="771F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pct"/>
            <w:vAlign w:val="center"/>
          </w:tcPr>
          <w:p w14:paraId="74F1CB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5" w:type="pct"/>
            <w:vAlign w:val="center"/>
          </w:tcPr>
          <w:p w14:paraId="0AF06F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70" w:type="pct"/>
            <w:vAlign w:val="center"/>
          </w:tcPr>
          <w:p w14:paraId="6889D0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20" w:type="pct"/>
            <w:vAlign w:val="center"/>
          </w:tcPr>
          <w:p w14:paraId="5E9BF5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4" w:type="pct"/>
            <w:vAlign w:val="center"/>
          </w:tcPr>
          <w:p w14:paraId="27218C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7" w:type="pct"/>
            <w:vAlign w:val="center"/>
          </w:tcPr>
          <w:p w14:paraId="0FA340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561C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660" w:type="pct"/>
            <w:vAlign w:val="center"/>
          </w:tcPr>
          <w:p w14:paraId="3C486F77">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项目一</w:t>
            </w:r>
          </w:p>
        </w:tc>
        <w:tc>
          <w:tcPr>
            <w:tcW w:w="1005" w:type="pct"/>
            <w:vAlign w:val="center"/>
          </w:tcPr>
          <w:p w14:paraId="3E3407F1">
            <w:pPr>
              <w:keepNext w:val="0"/>
              <w:keepLines w:val="0"/>
              <w:widowControl/>
              <w:suppressLineNumbers w:val="0"/>
              <w:jc w:val="center"/>
              <w:rPr>
                <w:rFonts w:hint="default" w:ascii="Arial" w:hAnsi="Arial" w:eastAsia="宋体" w:cs="Arial"/>
                <w:color w:val="auto"/>
                <w:sz w:val="21"/>
                <w:szCs w:val="21"/>
                <w:lang w:val="en-US" w:eastAsia="zh-CN"/>
              </w:rPr>
            </w:pPr>
            <w:r>
              <w:rPr>
                <w:rFonts w:ascii="宋体" w:hAnsi="宋体" w:eastAsia="宋体" w:cs="宋体"/>
                <w:kern w:val="0"/>
                <w:sz w:val="21"/>
                <w:szCs w:val="21"/>
                <w:lang w:val="en-US" w:eastAsia="zh-CN" w:bidi="ar"/>
              </w:rPr>
              <w:t>完成培养基制备、灭菌消毒、微生物接种、染色观察等基础实验操作，准确判断实验结果。</w:t>
            </w:r>
          </w:p>
        </w:tc>
        <w:tc>
          <w:tcPr>
            <w:tcW w:w="870" w:type="pct"/>
            <w:vAlign w:val="center"/>
          </w:tcPr>
          <w:p w14:paraId="12BD6729">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熟知显微镜各部位名称，掌握染色过程及镜检重点</w:t>
            </w:r>
          </w:p>
        </w:tc>
        <w:tc>
          <w:tcPr>
            <w:tcW w:w="820" w:type="pct"/>
            <w:vAlign w:val="center"/>
          </w:tcPr>
          <w:p w14:paraId="3A504725">
            <w:pPr>
              <w:jc w:val="center"/>
              <w:rPr>
                <w:rFonts w:hint="eastAsia" w:ascii="Arial" w:hAnsi="Arial" w:cs="Arial" w:eastAsiaTheme="minorEastAsia"/>
                <w:color w:val="auto"/>
                <w:sz w:val="21"/>
                <w:szCs w:val="21"/>
                <w:lang w:val="en-US" w:eastAsia="zh-CN"/>
              </w:rPr>
            </w:pPr>
            <w:r>
              <w:rPr>
                <w:rFonts w:hint="eastAsia" w:asciiTheme="minorEastAsia" w:hAnsiTheme="minorEastAsia" w:eastAsiaTheme="minorEastAsia" w:cstheme="minorEastAsia"/>
                <w:color w:val="auto"/>
                <w:sz w:val="21"/>
                <w:szCs w:val="21"/>
              </w:rPr>
              <w:t>显微镜的取放、调试、清洁与保养</w:t>
            </w:r>
            <w:r>
              <w:rPr>
                <w:rFonts w:hint="eastAsia" w:asciiTheme="minorEastAsia" w:hAnsi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细菌涂片的制作</w:t>
            </w:r>
          </w:p>
        </w:tc>
        <w:tc>
          <w:tcPr>
            <w:tcW w:w="1044" w:type="pct"/>
            <w:vAlign w:val="center"/>
          </w:tcPr>
          <w:p w14:paraId="61F275AD">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谨细致、勇于探索的科学精神</w:t>
            </w:r>
          </w:p>
        </w:tc>
        <w:tc>
          <w:tcPr>
            <w:tcW w:w="597" w:type="pct"/>
            <w:vAlign w:val="center"/>
          </w:tcPr>
          <w:p w14:paraId="2883B58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24B4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6428CCBF">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项目二</w:t>
            </w:r>
          </w:p>
        </w:tc>
        <w:tc>
          <w:tcPr>
            <w:tcW w:w="1005" w:type="pct"/>
            <w:vAlign w:val="center"/>
          </w:tcPr>
          <w:p w14:paraId="3B6396C0">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vertAlign w:val="baseline"/>
                <w:lang w:val="en-US" w:eastAsia="zh-CN"/>
              </w:rPr>
              <w:t>运动系统识别（全身主要骨关节与骨性标志识别，全身主要肌肉与肌性标志识别）</w:t>
            </w:r>
          </w:p>
        </w:tc>
        <w:tc>
          <w:tcPr>
            <w:tcW w:w="870" w:type="pct"/>
            <w:vAlign w:val="center"/>
          </w:tcPr>
          <w:p w14:paraId="520FED8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正确区分不同动物的运动系统构成</w:t>
            </w:r>
          </w:p>
        </w:tc>
        <w:tc>
          <w:tcPr>
            <w:tcW w:w="820" w:type="pct"/>
            <w:vAlign w:val="center"/>
          </w:tcPr>
          <w:p w14:paraId="2BD115D6">
            <w:pPr>
              <w:jc w:val="center"/>
              <w:rPr>
                <w:rFonts w:hint="eastAsia" w:ascii="Arial" w:hAnsi="Arial" w:cs="Arial" w:eastAsiaTheme="minorEastAsia"/>
                <w:color w:val="auto"/>
                <w:sz w:val="21"/>
                <w:szCs w:val="21"/>
                <w:lang w:val="en-US" w:eastAsia="zh-CN"/>
              </w:rPr>
            </w:pPr>
            <w:r>
              <w:rPr>
                <w:rFonts w:hint="eastAsia" w:ascii="Arial" w:hAnsi="Arial" w:eastAsia="宋体" w:cs="Arial"/>
                <w:color w:val="auto"/>
                <w:sz w:val="21"/>
                <w:szCs w:val="21"/>
                <w:lang w:val="en-US" w:eastAsia="zh-CN"/>
              </w:rPr>
              <w:t>完成</w:t>
            </w:r>
            <w:r>
              <w:rPr>
                <w:rFonts w:hint="eastAsia" w:asciiTheme="minorEastAsia" w:hAnsiTheme="minorEastAsia" w:eastAsiaTheme="minorEastAsia" w:cstheme="minorEastAsia"/>
                <w:color w:val="auto"/>
                <w:sz w:val="21"/>
                <w:szCs w:val="21"/>
              </w:rPr>
              <w:t>全身骨骼标本观察</w:t>
            </w:r>
            <w:r>
              <w:rPr>
                <w:rFonts w:hint="eastAsia" w:asciiTheme="minorEastAsia" w:hAnsi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肌肉标本观察</w:t>
            </w:r>
          </w:p>
        </w:tc>
        <w:tc>
          <w:tcPr>
            <w:tcW w:w="1044" w:type="pct"/>
            <w:vAlign w:val="center"/>
          </w:tcPr>
          <w:p w14:paraId="661F1191">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15C3981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19EB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64AB327C">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项目三</w:t>
            </w:r>
          </w:p>
        </w:tc>
        <w:tc>
          <w:tcPr>
            <w:tcW w:w="1005" w:type="pct"/>
            <w:vAlign w:val="center"/>
          </w:tcPr>
          <w:p w14:paraId="52918014">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vertAlign w:val="baseline"/>
                <w:lang w:val="en-US" w:eastAsia="zh-CN"/>
              </w:rPr>
              <w:t>主要器官组织结构观察</w:t>
            </w:r>
          </w:p>
        </w:tc>
        <w:tc>
          <w:tcPr>
            <w:tcW w:w="870" w:type="pct"/>
            <w:vAlign w:val="center"/>
          </w:tcPr>
          <w:p w14:paraId="73042761">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能掌握不同动物内脏系统的结构和功能</w:t>
            </w:r>
          </w:p>
        </w:tc>
        <w:tc>
          <w:tcPr>
            <w:tcW w:w="820" w:type="pct"/>
            <w:vAlign w:val="center"/>
          </w:tcPr>
          <w:p w14:paraId="05197FF5">
            <w:pPr>
              <w:jc w:val="center"/>
              <w:rPr>
                <w:rFonts w:hint="default" w:ascii="Arial" w:hAnsi="Arial" w:cs="Arial" w:eastAsiaTheme="minorEastAsia"/>
                <w:color w:val="auto"/>
                <w:sz w:val="21"/>
                <w:szCs w:val="21"/>
                <w:lang w:val="en-US" w:eastAsia="zh-CN"/>
              </w:rPr>
            </w:pPr>
            <w:r>
              <w:rPr>
                <w:rFonts w:hint="eastAsia" w:asciiTheme="minorEastAsia" w:hAnsiTheme="minorEastAsia" w:eastAsiaTheme="minorEastAsia" w:cstheme="minorEastAsia"/>
                <w:color w:val="auto"/>
                <w:sz w:val="21"/>
                <w:szCs w:val="21"/>
              </w:rPr>
              <w:t>显微镜下观察心、肝、肺、肾、肠组织切片</w:t>
            </w:r>
            <w:r>
              <w:rPr>
                <w:rFonts w:hint="eastAsia" w:asciiTheme="minorEastAsia" w:hAnsiTheme="minorEastAsia" w:cstheme="minorEastAsia"/>
                <w:color w:val="auto"/>
                <w:sz w:val="21"/>
                <w:szCs w:val="21"/>
                <w:lang w:val="en-US" w:eastAsia="zh-CN"/>
              </w:rPr>
              <w:t>并绘制图片</w:t>
            </w:r>
          </w:p>
        </w:tc>
        <w:tc>
          <w:tcPr>
            <w:tcW w:w="1044" w:type="pct"/>
            <w:vAlign w:val="center"/>
          </w:tcPr>
          <w:p w14:paraId="77297F33">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2CB291C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r w14:paraId="4A72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239E45A8">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项目四</w:t>
            </w:r>
          </w:p>
        </w:tc>
        <w:tc>
          <w:tcPr>
            <w:tcW w:w="1005" w:type="pct"/>
            <w:vAlign w:val="center"/>
          </w:tcPr>
          <w:p w14:paraId="7139116E">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vertAlign w:val="baseline"/>
              </w:rPr>
              <w:t>细菌的分离、移植及培养特性的观察</w:t>
            </w:r>
          </w:p>
        </w:tc>
        <w:tc>
          <w:tcPr>
            <w:tcW w:w="870" w:type="pct"/>
            <w:vAlign w:val="center"/>
          </w:tcPr>
          <w:p w14:paraId="516ED422">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掌握无菌操作技术的过程和要求</w:t>
            </w:r>
          </w:p>
        </w:tc>
        <w:tc>
          <w:tcPr>
            <w:tcW w:w="820" w:type="pct"/>
            <w:vAlign w:val="center"/>
          </w:tcPr>
          <w:p w14:paraId="1C401278">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能进行样本的分离、接种、移植</w:t>
            </w:r>
          </w:p>
        </w:tc>
        <w:tc>
          <w:tcPr>
            <w:tcW w:w="1044" w:type="pct"/>
            <w:vAlign w:val="center"/>
          </w:tcPr>
          <w:p w14:paraId="4ADE9661">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求真务实、严谨细致、勇于探索的科学精神</w:t>
            </w:r>
          </w:p>
        </w:tc>
        <w:tc>
          <w:tcPr>
            <w:tcW w:w="597" w:type="pct"/>
            <w:vAlign w:val="center"/>
          </w:tcPr>
          <w:p w14:paraId="0B9DFC3D">
            <w:pPr>
              <w:tabs>
                <w:tab w:val="left" w:pos="243"/>
              </w:tabs>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3EB7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525157D2">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项目五</w:t>
            </w:r>
          </w:p>
        </w:tc>
        <w:tc>
          <w:tcPr>
            <w:tcW w:w="1005" w:type="pct"/>
            <w:vAlign w:val="center"/>
          </w:tcPr>
          <w:p w14:paraId="523C303E">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vertAlign w:val="baseline"/>
                <w:lang w:val="en-US" w:eastAsia="zh-CN"/>
              </w:rPr>
              <w:t>撰写实训报告及自我总结</w:t>
            </w:r>
          </w:p>
        </w:tc>
        <w:tc>
          <w:tcPr>
            <w:tcW w:w="870" w:type="pct"/>
            <w:shd w:val="clear" w:color="auto" w:fill="auto"/>
            <w:vAlign w:val="center"/>
          </w:tcPr>
          <w:p w14:paraId="1E3D965F">
            <w:pPr>
              <w:jc w:val="center"/>
              <w:rPr>
                <w:rFonts w:hint="default"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撰写病历记录，形成病历档案，形成报告</w:t>
            </w:r>
          </w:p>
        </w:tc>
        <w:tc>
          <w:tcPr>
            <w:tcW w:w="820" w:type="pct"/>
            <w:shd w:val="clear" w:color="auto" w:fill="auto"/>
            <w:vAlign w:val="center"/>
          </w:tcPr>
          <w:p w14:paraId="21BCF1FE">
            <w:pPr>
              <w:jc w:val="center"/>
              <w:rPr>
                <w:rFonts w:hint="default"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能对操作进行完整、细致、重点总结</w:t>
            </w:r>
          </w:p>
        </w:tc>
        <w:tc>
          <w:tcPr>
            <w:tcW w:w="1044" w:type="pct"/>
            <w:vAlign w:val="center"/>
          </w:tcPr>
          <w:p w14:paraId="031DEAD1">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树立绿色、</w:t>
            </w:r>
            <w:r>
              <w:rPr>
                <w:rFonts w:hint="eastAsia" w:asciiTheme="minorEastAsia" w:hAnsiTheme="minorEastAsia" w:cstheme="minorEastAsia"/>
                <w:sz w:val="21"/>
                <w:szCs w:val="21"/>
                <w:lang w:val="en-US" w:eastAsia="zh-CN"/>
              </w:rPr>
              <w:t>环保、健康</w:t>
            </w:r>
            <w:r>
              <w:rPr>
                <w:rFonts w:hint="eastAsia" w:asciiTheme="minorEastAsia" w:hAnsiTheme="minorEastAsia" w:eastAsiaTheme="minorEastAsia" w:cstheme="minorEastAsia"/>
                <w:sz w:val="21"/>
                <w:szCs w:val="21"/>
                <w:lang w:val="en-US" w:eastAsia="zh-CN"/>
              </w:rPr>
              <w:t>可持续发展的理念</w:t>
            </w:r>
          </w:p>
        </w:tc>
        <w:tc>
          <w:tcPr>
            <w:tcW w:w="597" w:type="pct"/>
            <w:vAlign w:val="center"/>
          </w:tcPr>
          <w:p w14:paraId="2CCD5449">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bl>
    <w:p w14:paraId="5F1114D0">
      <w:pPr>
        <w:pStyle w:val="3"/>
        <w:bidi w:val="0"/>
        <w:rPr>
          <w:rFonts w:hint="eastAsia"/>
          <w:lang w:val="en-US" w:eastAsia="zh-CN"/>
        </w:rPr>
      </w:pPr>
      <w:r>
        <w:rPr>
          <w:rFonts w:hint="eastAsia"/>
          <w:lang w:val="en-US" w:eastAsia="zh-CN"/>
        </w:rPr>
        <w:t>六、课程考核与评价</w:t>
      </w:r>
    </w:p>
    <w:p w14:paraId="2A24BD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4083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DF2E5C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CD650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638A3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3A9C85E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C06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27042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E34DA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9E6B5C1">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8F87229">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0BEE48A5">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3333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0208E3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27817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09CBC07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0E0A847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148A9443">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7213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53BA6C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B6D63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219BAF1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69ACEE7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A36278D">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5617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7E8DF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BD127D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6A4BA71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68B456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33E7C5AD">
      <w:pPr>
        <w:pStyle w:val="3"/>
        <w:bidi w:val="0"/>
        <w:rPr>
          <w:rFonts w:hint="eastAsia"/>
          <w:lang w:val="en-US" w:eastAsia="zh-CN"/>
        </w:rPr>
      </w:pPr>
      <w:r>
        <w:rPr>
          <w:rFonts w:hint="eastAsia"/>
          <w:lang w:val="en-US" w:eastAsia="zh-CN"/>
        </w:rPr>
        <w:t>七、课程实施与保障</w:t>
      </w:r>
    </w:p>
    <w:p w14:paraId="4DC9B0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AC9E3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如模拟兽医诊断）、虚拟仿真实训等形式，提高学生学习主动性和实践能力。</w:t>
      </w:r>
    </w:p>
    <w:p w14:paraId="0BA62E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99A8F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试验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7E4218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5EAC8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F1CF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微生物相关教学经验与实践经历。鼓励聘请行业企业资深兽医、技术专家担任兼职教师，承担部分实践教学或讲座。团队结构（职称、年龄、专兼职）合理。</w:t>
      </w:r>
    </w:p>
    <w:p w14:paraId="7EE17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B1E4DB1">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438CF60A">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2D2005E1">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动物微生物实验室：操作台、细菌培养器材。符合生物安全与废弃物处理要求。</w:t>
      </w:r>
    </w:p>
    <w:p w14:paraId="0DE46094">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显微互动实验室：配备显微镜、显微成像系统、细菌标本片等。</w:t>
      </w:r>
    </w:p>
    <w:p w14:paraId="54D9DAE9">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虚拟仿真实训室：安装传染病病原虚拟仿真软件。</w:t>
      </w:r>
    </w:p>
    <w:p w14:paraId="303F599A">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2B3477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80C2A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4BDDFE87">
      <w:pPr>
        <w:keepNext w:val="0"/>
        <w:keepLines w:val="0"/>
        <w:pageBreakBefore w:val="0"/>
        <w:widowControl w:val="0"/>
        <w:numPr>
          <w:ilvl w:val="0"/>
          <w:numId w:val="3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数字教学资源：建设或选用精品在线开放课程资源库；开发或收集高质量微课视频、三维动画、虚拟仿真实验项目；建立标本、切片数字图像库；利用专业数据库、学术网站链接拓展学习资源。</w:t>
      </w:r>
    </w:p>
    <w:p w14:paraId="00AE1D13">
      <w:pPr>
        <w:rPr>
          <w:rFonts w:hint="eastAsia" w:ascii="宋体" w:hAnsi="宋体" w:eastAsia="宋体" w:cs="宋体"/>
          <w:sz w:val="24"/>
          <w:szCs w:val="24"/>
          <w:lang w:val="en-US" w:eastAsia="zh-CN"/>
        </w:rPr>
      </w:pPr>
    </w:p>
    <w:p w14:paraId="45327323">
      <w:pPr>
        <w:rPr>
          <w:rFonts w:hint="eastAsia" w:ascii="宋体" w:hAnsi="宋体" w:eastAsia="宋体" w:cs="宋体"/>
          <w:sz w:val="24"/>
          <w:szCs w:val="24"/>
          <w:lang w:val="en-US" w:eastAsia="zh-CN"/>
        </w:rPr>
      </w:pPr>
    </w:p>
    <w:p w14:paraId="5C792403">
      <w:pPr>
        <w:rPr>
          <w:rFonts w:hint="eastAsia" w:ascii="宋体" w:hAnsi="宋体" w:eastAsia="宋体" w:cs="宋体"/>
          <w:sz w:val="24"/>
          <w:szCs w:val="24"/>
          <w:lang w:val="en-US" w:eastAsia="zh-CN"/>
        </w:rPr>
      </w:pPr>
    </w:p>
    <w:p w14:paraId="1EEEAB1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185F55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BD798A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9C34AE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ACE5CB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609676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8CC916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C98E5A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E5B59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0477BA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EB2A69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2558B6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BC0395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689ADE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FA8A12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97FA9C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AEA36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E45E62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29739E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FA1841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57BF96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77BE7F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970A0C0">
      <w:pPr>
        <w:rPr>
          <w:rFonts w:hint="eastAsia"/>
          <w:lang w:val="en-US" w:eastAsia="zh-CN"/>
        </w:rPr>
      </w:pPr>
      <w:bookmarkStart w:id="58" w:name="_Toc31334"/>
      <w:r>
        <w:rPr>
          <w:rFonts w:hint="eastAsia"/>
          <w:lang w:val="en-US" w:eastAsia="zh-CN"/>
        </w:rPr>
        <w:br w:type="page"/>
      </w:r>
    </w:p>
    <w:p w14:paraId="15C3DF92">
      <w:pPr>
        <w:pStyle w:val="2"/>
        <w:bidi w:val="0"/>
        <w:rPr>
          <w:rFonts w:hint="eastAsia"/>
          <w:lang w:val="en-US" w:eastAsia="zh-CN"/>
        </w:rPr>
      </w:pPr>
      <w:bookmarkStart w:id="59" w:name="_Toc16199"/>
      <w:r>
        <w:rPr>
          <w:rFonts w:hint="eastAsia"/>
          <w:lang w:val="en-US" w:eastAsia="zh-CN"/>
        </w:rPr>
        <w:t>《畜牧基础综合实训》课程标准</w:t>
      </w:r>
      <w:bookmarkEnd w:id="58"/>
      <w:bookmarkEnd w:id="59"/>
    </w:p>
    <w:p w14:paraId="2C13327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1F88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328A31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6C9C1C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畜牧基础综合实训</w:t>
            </w:r>
          </w:p>
        </w:tc>
        <w:tc>
          <w:tcPr>
            <w:tcW w:w="975" w:type="dxa"/>
            <w:tcBorders>
              <w:top w:val="single" w:color="auto" w:sz="4" w:space="0"/>
              <w:left w:val="single" w:color="auto" w:sz="4" w:space="0"/>
              <w:bottom w:val="single" w:color="auto" w:sz="4" w:space="0"/>
              <w:right w:val="single" w:color="auto" w:sz="4" w:space="0"/>
            </w:tcBorders>
            <w:vAlign w:val="center"/>
          </w:tcPr>
          <w:p w14:paraId="0F92EE9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167027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xcxm24031</w:t>
            </w:r>
          </w:p>
        </w:tc>
      </w:tr>
      <w:tr w14:paraId="2E26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7322D8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9221226">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217D0B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40A6ABA">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770670C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B18023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4AF0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12ED29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7183A2E">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p>
        </w:tc>
      </w:tr>
      <w:tr w14:paraId="1525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C311CD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2CCE96A">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DDEB10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DD573EB">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4D23EA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EA8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ADA4E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226C87D">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szCs w:val="24"/>
                <w:lang w:val="en-US" w:eastAsia="zh-CN" w:bidi="ar-SA"/>
              </w:rPr>
              <w:t>《动物解剖生理》《动物遗传繁育》、《动物营养与饲料》、《动物生物化学》</w:t>
            </w:r>
          </w:p>
        </w:tc>
      </w:tr>
      <w:tr w14:paraId="2BF0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CEC180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D477B11">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szCs w:val="24"/>
                <w:lang w:val="en-US" w:eastAsia="zh-CN" w:bidi="ar-SA"/>
              </w:rPr>
              <w:t>《牛羊生产》、《养禽与禽病防治》、《养猪与猪病防治》</w:t>
            </w:r>
          </w:p>
        </w:tc>
      </w:tr>
      <w:tr w14:paraId="0369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8AC582F">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77AE1A6">
            <w:pPr>
              <w:rPr>
                <w:rFonts w:hint="default" w:ascii="Arial" w:hAnsi="Arial" w:eastAsia="宋体" w:cs="Arial"/>
                <w:kern w:val="2"/>
                <w:sz w:val="21"/>
                <w:szCs w:val="24"/>
                <w:lang w:val="en-US" w:eastAsia="zh-CN" w:bidi="ar-SA"/>
              </w:rPr>
            </w:pPr>
            <w:r>
              <w:rPr>
                <w:rFonts w:hint="eastAsia" w:ascii="Arial" w:hAnsi="Arial" w:eastAsia="宋体" w:cs="Arial"/>
              </w:rPr>
              <w:t>《动物生物化学》，李京杰主编，中国农业大学出版社，2019年9月</w:t>
            </w:r>
            <w:r>
              <w:rPr>
                <w:rFonts w:hint="eastAsia" w:ascii="Arial" w:hAnsi="Arial" w:eastAsia="宋体" w:cs="Arial"/>
                <w:lang w:eastAsia="zh-CN"/>
              </w:rPr>
              <w:t>，978-7-5655-2264-0</w:t>
            </w:r>
            <w:r>
              <w:rPr>
                <w:rFonts w:hint="eastAsia" w:ascii="Arial" w:hAnsi="Arial" w:eastAsia="宋体" w:cs="Arial"/>
                <w:lang w:val="en-US" w:eastAsia="zh-CN"/>
              </w:rPr>
              <w:t xml:space="preserve">   </w:t>
            </w:r>
            <w:r>
              <w:rPr>
                <w:rFonts w:hint="eastAsia" w:ascii="Arial" w:hAnsi="Arial" w:eastAsia="宋体" w:cs="Arial"/>
              </w:rPr>
              <w:t>《动物</w:t>
            </w:r>
            <w:r>
              <w:rPr>
                <w:rFonts w:hint="eastAsia" w:ascii="Arial" w:hAnsi="Arial" w:eastAsia="宋体" w:cs="Arial"/>
                <w:lang w:val="en-US" w:eastAsia="zh-CN"/>
              </w:rPr>
              <w:t>遗传繁育</w:t>
            </w:r>
            <w:r>
              <w:rPr>
                <w:rFonts w:hint="eastAsia" w:ascii="Arial" w:hAnsi="Arial" w:eastAsia="宋体" w:cs="Arial"/>
              </w:rPr>
              <w:t>》，</w:t>
            </w:r>
            <w:r>
              <w:rPr>
                <w:rFonts w:hint="eastAsia" w:ascii="Arial" w:hAnsi="Arial" w:eastAsia="宋体" w:cs="Arial"/>
                <w:lang w:val="en-US" w:eastAsia="zh-CN"/>
              </w:rPr>
              <w:t>徐相亭，</w:t>
            </w:r>
            <w:r>
              <w:rPr>
                <w:rFonts w:hint="eastAsia" w:ascii="Arial" w:hAnsi="Arial" w:eastAsia="宋体" w:cs="Arial"/>
              </w:rPr>
              <w:t>主编，中国农业出版社，201</w:t>
            </w:r>
            <w:r>
              <w:rPr>
                <w:rFonts w:hint="eastAsia" w:ascii="Arial" w:hAnsi="Arial" w:eastAsia="宋体" w:cs="Arial"/>
                <w:lang w:val="en-US" w:eastAsia="zh-CN"/>
              </w:rPr>
              <w:t>8</w:t>
            </w:r>
            <w:r>
              <w:rPr>
                <w:rFonts w:hint="eastAsia" w:ascii="Arial" w:hAnsi="Arial" w:eastAsia="宋体" w:cs="Arial"/>
              </w:rPr>
              <w:t>年</w:t>
            </w:r>
            <w:r>
              <w:rPr>
                <w:rFonts w:hint="eastAsia" w:ascii="Arial" w:hAnsi="Arial" w:eastAsia="宋体" w:cs="Arial"/>
                <w:lang w:val="en-US" w:eastAsia="zh-CN"/>
              </w:rPr>
              <w:t>2</w:t>
            </w:r>
            <w:r>
              <w:rPr>
                <w:rFonts w:hint="eastAsia" w:ascii="Arial" w:hAnsi="Arial" w:eastAsia="宋体" w:cs="Arial"/>
              </w:rPr>
              <w:t>月</w:t>
            </w:r>
            <w:r>
              <w:rPr>
                <w:rFonts w:hint="eastAsia" w:ascii="Arial" w:hAnsi="Arial" w:eastAsia="宋体" w:cs="Arial"/>
                <w:lang w:eastAsia="zh-CN"/>
              </w:rPr>
              <w:t>，978-7-</w:t>
            </w:r>
            <w:r>
              <w:rPr>
                <w:rFonts w:hint="eastAsia" w:ascii="Arial" w:hAnsi="Arial" w:eastAsia="宋体" w:cs="Arial"/>
                <w:lang w:val="en-US" w:eastAsia="zh-CN"/>
              </w:rPr>
              <w:t>109</w:t>
            </w:r>
            <w:r>
              <w:rPr>
                <w:rFonts w:hint="eastAsia" w:ascii="Arial" w:hAnsi="Arial" w:eastAsia="宋体" w:cs="Arial"/>
                <w:lang w:eastAsia="zh-CN"/>
              </w:rPr>
              <w:t>-</w:t>
            </w:r>
            <w:r>
              <w:rPr>
                <w:rFonts w:hint="eastAsia" w:ascii="Arial" w:hAnsi="Arial" w:eastAsia="宋体" w:cs="Arial"/>
                <w:lang w:val="en-US" w:eastAsia="zh-CN"/>
              </w:rPr>
              <w:t>23900</w:t>
            </w:r>
            <w:r>
              <w:rPr>
                <w:rFonts w:hint="eastAsia" w:ascii="Arial" w:hAnsi="Arial" w:eastAsia="宋体" w:cs="Arial"/>
                <w:lang w:eastAsia="zh-CN"/>
              </w:rPr>
              <w:t>-</w:t>
            </w:r>
            <w:r>
              <w:rPr>
                <w:rFonts w:hint="eastAsia" w:ascii="Arial" w:hAnsi="Arial" w:eastAsia="宋体" w:cs="Arial"/>
                <w:lang w:val="en-US" w:eastAsia="zh-CN"/>
              </w:rPr>
              <w:t xml:space="preserve">5 </w:t>
            </w:r>
            <w:r>
              <w:rPr>
                <w:rFonts w:ascii="Arial" w:hAnsi="Arial" w:eastAsia="宋体" w:cs="Arial"/>
              </w:rPr>
              <w:t>《</w:t>
            </w:r>
            <w:r>
              <w:rPr>
                <w:rFonts w:hint="eastAsia" w:ascii="Arial" w:hAnsi="Arial" w:eastAsia="宋体" w:cs="Arial"/>
                <w:lang w:val="en-US" w:eastAsia="zh-CN"/>
              </w:rPr>
              <w:t>动物营养与饲料</w:t>
            </w:r>
            <w:r>
              <w:rPr>
                <w:rFonts w:ascii="Arial" w:hAnsi="Arial" w:eastAsia="宋体" w:cs="Arial"/>
              </w:rPr>
              <w:t>》（</w:t>
            </w:r>
            <w:r>
              <w:rPr>
                <w:rFonts w:hint="eastAsia" w:ascii="Arial" w:hAnsi="Arial" w:eastAsia="宋体" w:cs="Arial"/>
                <w:lang w:val="en-US" w:eastAsia="zh-CN"/>
              </w:rPr>
              <w:t>陈明</w:t>
            </w:r>
            <w:r>
              <w:rPr>
                <w:rFonts w:hint="eastAsia" w:ascii="Arial" w:hAnsi="Arial" w:eastAsia="宋体" w:cs="Arial"/>
              </w:rPr>
              <w:t>，</w:t>
            </w:r>
            <w:r>
              <w:rPr>
                <w:rFonts w:hint="eastAsia" w:ascii="Arial" w:hAnsi="Arial" w:eastAsia="宋体" w:cs="Arial"/>
                <w:lang w:val="en-US" w:eastAsia="zh-CN"/>
              </w:rPr>
              <w:t>中国农业出版社，2019年，ISBN978-7-109-25682-8</w:t>
            </w:r>
            <w:r>
              <w:rPr>
                <w:rFonts w:ascii="Arial" w:hAnsi="Arial" w:eastAsia="宋体" w:cs="Arial"/>
              </w:rPr>
              <w:t>)</w:t>
            </w:r>
          </w:p>
        </w:tc>
      </w:tr>
      <w:tr w14:paraId="17F8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64FA7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A1D8AFC">
            <w:pPr>
              <w:widowControl/>
              <w:jc w:val="left"/>
              <w:rPr>
                <w:rFonts w:hint="default" w:eastAsiaTheme="minorEastAsia"/>
                <w:lang w:val="en-US" w:eastAsia="zh-CN"/>
              </w:rPr>
            </w:pPr>
            <w:r>
              <w:rPr>
                <w:rFonts w:hint="eastAsia"/>
                <w:lang w:val="en-US" w:eastAsia="zh-CN"/>
              </w:rPr>
              <w:t>杨侃侃 奚晓娥</w:t>
            </w:r>
          </w:p>
        </w:tc>
        <w:tc>
          <w:tcPr>
            <w:tcW w:w="975" w:type="dxa"/>
            <w:tcBorders>
              <w:top w:val="single" w:color="auto" w:sz="4" w:space="0"/>
              <w:left w:val="single" w:color="auto" w:sz="4" w:space="0"/>
              <w:bottom w:val="single" w:color="auto" w:sz="4" w:space="0"/>
              <w:right w:val="single" w:color="auto" w:sz="4" w:space="0"/>
            </w:tcBorders>
            <w:vAlign w:val="center"/>
          </w:tcPr>
          <w:p w14:paraId="537DBB0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6717B5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2549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428CD7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9B937D7">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2307611D">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C9E2096">
            <w:pPr>
              <w:pStyle w:val="16"/>
              <w:spacing w:before="0" w:beforeAutospacing="0" w:after="0" w:afterAutospacing="0"/>
              <w:ind w:left="-105" w:leftChars="-50" w:right="-105" w:rightChars="-50"/>
              <w:jc w:val="center"/>
              <w:rPr>
                <w:rFonts w:ascii="宋体" w:hAnsi="宋体" w:eastAsia="宋体"/>
                <w:color w:val="auto"/>
                <w:sz w:val="21"/>
                <w:szCs w:val="21"/>
              </w:rPr>
            </w:pPr>
          </w:p>
        </w:tc>
      </w:tr>
    </w:tbl>
    <w:p w14:paraId="5740BBD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1744A53">
      <w:pPr>
        <w:pStyle w:val="3"/>
        <w:bidi w:val="0"/>
        <w:rPr>
          <w:rFonts w:hint="eastAsia"/>
          <w:lang w:val="en-US" w:eastAsia="zh-CN"/>
        </w:rPr>
      </w:pPr>
      <w:r>
        <w:rPr>
          <w:rFonts w:hint="eastAsia"/>
          <w:lang w:val="en-US" w:eastAsia="zh-CN"/>
        </w:rPr>
        <w:t>二、课程定位</w:t>
      </w:r>
    </w:p>
    <w:p w14:paraId="3750C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本课程是畜牧兽医专业必修的一门专业核心实践课程，是在《动物解剖生理》《</w:t>
      </w:r>
      <w:r>
        <w:rPr>
          <w:rFonts w:hint="eastAsia" w:asciiTheme="minorEastAsia" w:hAnsiTheme="minorEastAsia" w:cstheme="minorEastAsia"/>
          <w:sz w:val="24"/>
          <w:szCs w:val="24"/>
          <w:lang w:val="en-US" w:eastAsia="zh-CN"/>
        </w:rPr>
        <w:t>动物</w:t>
      </w:r>
      <w:r>
        <w:rPr>
          <w:rFonts w:hint="eastAsia" w:asciiTheme="minorEastAsia" w:hAnsiTheme="minorEastAsia" w:eastAsiaTheme="minorEastAsia" w:cstheme="minorEastAsia"/>
          <w:sz w:val="24"/>
          <w:szCs w:val="24"/>
          <w:lang w:val="en-US" w:eastAsia="zh-CN"/>
        </w:rPr>
        <w:t>营养与饲料》《</w:t>
      </w:r>
      <w:r>
        <w:rPr>
          <w:rFonts w:hint="eastAsia" w:asciiTheme="minorEastAsia" w:hAnsiTheme="minorEastAsia" w:cstheme="minorEastAsia"/>
          <w:sz w:val="24"/>
          <w:szCs w:val="24"/>
          <w:lang w:val="en-US" w:eastAsia="zh-CN"/>
        </w:rPr>
        <w:t>动物遗传繁育</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《动物生物化学》</w:t>
      </w:r>
      <w:r>
        <w:rPr>
          <w:rFonts w:hint="eastAsia" w:asciiTheme="minorEastAsia" w:hAnsiTheme="minorEastAsia" w:eastAsiaTheme="minorEastAsia" w:cstheme="minorEastAsia"/>
          <w:sz w:val="24"/>
          <w:szCs w:val="24"/>
          <w:lang w:val="en-US" w:eastAsia="zh-CN"/>
        </w:rPr>
        <w:t>等前期理论课程基础上开设的一门实践课程，对接专业人才培养目标，面向畜禽养殖技术员、畜牧场管理员、畜禽防疫员、饲料配方助理等畜牧行业一线工作岗位，培养学生具备爱岗敬业、严谨务实、绿色养殖、合规执业的职业素质，具备畜禽标准化饲养管理、常见疫病基础防控、养殖设备规范操作、实训数据记录分析及问题处置的核心能力，为后续</w:t>
      </w:r>
      <w:r>
        <w:rPr>
          <w:rFonts w:hint="eastAsia" w:asciiTheme="minorEastAsia" w:hAnsiTheme="minorEastAsia" w:eastAsiaTheme="minorEastAsia" w:cstheme="minorEastAsia"/>
          <w:kern w:val="2"/>
          <w:sz w:val="24"/>
          <w:szCs w:val="24"/>
          <w:lang w:val="en-US" w:eastAsia="zh-CN" w:bidi="ar-SA"/>
        </w:rPr>
        <w:t>《牛羊生产》、《养禽与禽病防治》、《养猪与猪病防治》</w:t>
      </w:r>
      <w:r>
        <w:rPr>
          <w:rFonts w:hint="eastAsia" w:asciiTheme="minorEastAsia" w:hAnsiTheme="minorEastAsia" w:eastAsiaTheme="minorEastAsia" w:cstheme="minorEastAsia"/>
          <w:sz w:val="24"/>
          <w:szCs w:val="24"/>
          <w:lang w:val="en-US" w:eastAsia="zh-CN"/>
        </w:rPr>
        <w:t>等专业核心课程学习奠定坚实实践基础的课程。同时，将课程思政内容融入课程核心内容体系，结合畜牧行业发展历程、乡村振兴战略需求、生态养殖政策导向及行业榜样事迹，帮助学生树立正确的世界观、人生观、价值观，增强行业认同感、社会责任感和职业使命感，培养德智体美劳全面发展的高素质畜牧行业技术技能人才。</w:t>
      </w:r>
    </w:p>
    <w:p w14:paraId="2147E53E">
      <w:pPr>
        <w:pStyle w:val="3"/>
        <w:bidi w:val="0"/>
        <w:rPr>
          <w:rFonts w:hint="eastAsia"/>
          <w:lang w:val="en-US" w:eastAsia="zh-CN"/>
        </w:rPr>
      </w:pPr>
      <w:r>
        <w:rPr>
          <w:rFonts w:hint="eastAsia"/>
          <w:lang w:val="en-US" w:eastAsia="zh-CN"/>
        </w:rPr>
        <w:t>三、课程设计思路</w:t>
      </w:r>
    </w:p>
    <w:p w14:paraId="476D65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本课程是畜牧兽医专业必修的集中实训课程（26学时，全实践无理论教学），围绕九</w:t>
      </w:r>
      <w:r>
        <w:rPr>
          <w:rFonts w:hint="eastAsia" w:asciiTheme="minorEastAsia" w:hAnsiTheme="minorEastAsia" w:cstheme="minorEastAsia"/>
          <w:sz w:val="24"/>
          <w:szCs w:val="24"/>
          <w:lang w:val="en-US" w:eastAsia="zh-CN"/>
        </w:rPr>
        <w:t>个</w:t>
      </w:r>
      <w:r>
        <w:rPr>
          <w:rFonts w:hint="eastAsia" w:asciiTheme="minorEastAsia" w:hAnsiTheme="minorEastAsia" w:eastAsiaTheme="minorEastAsia" w:cstheme="minorEastAsia"/>
          <w:sz w:val="24"/>
          <w:szCs w:val="24"/>
          <w:lang w:val="en-US" w:eastAsia="zh-CN"/>
        </w:rPr>
        <w:t>实训内容集中开展实操教学。以“学生为中心、职业能力为本位”，对标相关岗位需求，参考课程标准构建实训体系，兼顾基础适配性与岗位针对性，全力锤炼学生实操技能。</w:t>
      </w:r>
    </w:p>
    <w:p w14:paraId="2E8FD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课程内容紧扣“实用、基础、可操作”核心，结合先修课程知识点，围绕</w:t>
      </w:r>
      <w:r>
        <w:rPr>
          <w:rFonts w:hint="eastAsia" w:asciiTheme="minorEastAsia" w:hAnsiTheme="minorEastAsia" w:cstheme="minorEastAsia"/>
          <w:sz w:val="24"/>
          <w:szCs w:val="24"/>
          <w:lang w:val="en-US" w:eastAsia="zh-CN"/>
        </w:rPr>
        <w:t>九个</w:t>
      </w:r>
      <w:r>
        <w:rPr>
          <w:rFonts w:hint="eastAsia" w:asciiTheme="minorEastAsia" w:hAnsiTheme="minorEastAsia" w:eastAsiaTheme="minorEastAsia" w:cstheme="minorEastAsia"/>
          <w:sz w:val="24"/>
          <w:szCs w:val="24"/>
          <w:lang w:val="en-US" w:eastAsia="zh-CN"/>
        </w:rPr>
        <w:t>实训内容科学分配26学时，聚焦各实操项目的核心技能与岗位适配要点。融入1+X证书考核要点与绿色养殖技术，精准贴合畜牧行业岗位需求及产业发展趋势。</w:t>
      </w:r>
    </w:p>
    <w:p w14:paraId="567DF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合集中实训及全实践属性，采用“模块化团队授课+梯度实操”模式，适配学生基础差异。26学时全用于实践教学，采用“教师示范—分组实操—一对一纠错—总结复盘”流程，针对鸡人工授精、青贮加工等难点反复演练。按模块配备专长教师，精准指导补短板，提升实操效率。</w:t>
      </w:r>
    </w:p>
    <w:p w14:paraId="4D1353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融入课程思政，构建专属思政价值链。渗透法规与食品安全意识，培养动物福利理念，结合行业成就与能手事迹传递责任与工匠精神，强化诚信与严谨态度，实现技能与思政融合。</w:t>
      </w:r>
    </w:p>
    <w:p w14:paraId="70D2B2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用分层次实操教学，设基础达标与技能提升目标，配套线上实训视频供课后巩固补弱。建立多维度实践考核体系，过程性考核占60%（侧重操作规范性、实训态度等），终结性考核（40%）聚焦核心技能达标情况，结合教学反馈优化实训方案。</w:t>
      </w:r>
    </w:p>
    <w:p w14:paraId="542BEA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以“岗课赛证”融通为导向，衔接后续核心课程，培养基础扎实、适配岗位的畜牧技能人才，助力行业高质量发展。</w:t>
      </w:r>
    </w:p>
    <w:p w14:paraId="117C1783">
      <w:pPr>
        <w:pStyle w:val="3"/>
        <w:bidi w:val="0"/>
        <w:rPr>
          <w:rFonts w:hint="eastAsia"/>
          <w:lang w:val="en-US" w:eastAsia="zh-CN"/>
        </w:rPr>
      </w:pPr>
      <w:r>
        <w:rPr>
          <w:rFonts w:hint="eastAsia"/>
          <w:lang w:val="en-US" w:eastAsia="zh-CN"/>
        </w:rPr>
        <w:t>四、课程目标</w:t>
      </w:r>
    </w:p>
    <w:p w14:paraId="697782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31369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1.了解</w:t>
      </w:r>
      <w:r>
        <w:rPr>
          <w:rFonts w:hint="eastAsia" w:asciiTheme="minorEastAsia" w:hAnsiTheme="minorEastAsia" w:cstheme="minorEastAsia"/>
          <w:sz w:val="24"/>
          <w:szCs w:val="24"/>
          <w:lang w:val="en-US" w:eastAsia="zh-CN"/>
        </w:rPr>
        <w:t>九个</w:t>
      </w:r>
      <w:r>
        <w:rPr>
          <w:rFonts w:hint="eastAsia" w:asciiTheme="minorEastAsia" w:hAnsiTheme="minorEastAsia" w:eastAsiaTheme="minorEastAsia" w:cstheme="minorEastAsia"/>
          <w:sz w:val="24"/>
          <w:szCs w:val="24"/>
          <w:lang w:val="en-US" w:eastAsia="zh-CN"/>
        </w:rPr>
        <w:t>实训项目（饲料原料识别、鸡的人工授精、牛奶中酪蛋白分离制备等）的行业应用场景，能说出各项目在畜禽养殖、饲料加工、乳制品基础加工环节的核心应用价值。</w:t>
      </w:r>
    </w:p>
    <w:p w14:paraId="62CD2A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2.熟悉实训相关基础标准与要求，能区分饲料原料、氨化秸秆、青贮饲料合格与不合格成果的核心特征，再现品质鉴定的关键指标与判定依据。</w:t>
      </w:r>
    </w:p>
    <w:p w14:paraId="1799EB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3.掌握</w:t>
      </w:r>
      <w:r>
        <w:rPr>
          <w:rFonts w:hint="eastAsia" w:asciiTheme="minorEastAsia" w:hAnsiTheme="minorEastAsia" w:cstheme="minorEastAsia"/>
          <w:sz w:val="24"/>
          <w:szCs w:val="24"/>
          <w:lang w:val="en-US" w:eastAsia="zh-CN"/>
        </w:rPr>
        <w:t>九个</w:t>
      </w:r>
      <w:r>
        <w:rPr>
          <w:rFonts w:hint="eastAsia" w:asciiTheme="minorEastAsia" w:hAnsiTheme="minorEastAsia" w:eastAsiaTheme="minorEastAsia" w:cstheme="minorEastAsia"/>
          <w:sz w:val="24"/>
          <w:szCs w:val="24"/>
          <w:lang w:val="en-US" w:eastAsia="zh-CN"/>
        </w:rPr>
        <w:t>实训项目的规范操作流程、安全注意事项及关键控制点，能准确复述各项目的操作步骤与风险规避要点。</w:t>
      </w:r>
    </w:p>
    <w:p w14:paraId="7D0D1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4.掌握与实训紧密相关的基础理论知识点，能简述家畜生殖器官基础生理功能、唾液淀粉酶活性主要影响因素，关联先修课程知识点说明实训核心原理。</w:t>
      </w:r>
    </w:p>
    <w:p w14:paraId="21C6F2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5.熟悉1+X畜禽养殖职业技能等级证书中与本实训相关的基础考核要点，能简述绿色养殖技术核心要求及行业相关法规基础条款，明确合规操作边界。</w:t>
      </w:r>
    </w:p>
    <w:p w14:paraId="081A11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45D3F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1.精通实训项目的规范操作，能独立、标准完成饲料总磷含量测定、牛奶中酪蛋白分离制备等实操任务。</w:t>
      </w:r>
    </w:p>
    <w:p w14:paraId="4D7D7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2.善用实训工具与设备，能独立完成调试、操作及课后清洁保养，可快速处理设备运行中的常见故障。</w:t>
      </w:r>
    </w:p>
    <w:p w14:paraId="795A0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3.能精准判定青贮饲料、氨化秸秆品质，准确记录实训数据，规范撰写实训报告，分析数据异常原因。</w:t>
      </w:r>
    </w:p>
    <w:p w14:paraId="619130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4.能快速排查实训常见问题（如青贮加工水分控制不当、人工授精保定失误），并采取基础解决措施。</w:t>
      </w:r>
    </w:p>
    <w:p w14:paraId="2070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5.能配合团队完成分组实训任务，主动交流操作经验，协助同伴纠正不规范动作，具备基础协作能力。</w:t>
      </w:r>
    </w:p>
    <w:p w14:paraId="7AA943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6144A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1.培养学生严谨求实的工作态度，养成规范记录、精准操作、不敷衍应付的实训习惯。</w:t>
      </w:r>
    </w:p>
    <w:p w14:paraId="23C05D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2.培养学生安全操作意识，严格遵守实训安全规范，重视自身及他人安全，杜绝违规操作行为。</w:t>
      </w:r>
    </w:p>
    <w:p w14:paraId="1DE5EE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3.培养学生节约环保意识，合理使用实训耗材与能源，保持实训场地整洁，减少资源浪费。</w:t>
      </w:r>
    </w:p>
    <w:p w14:paraId="49EEAF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4.培养学生自主学习能力，能借助线上实训视频巩固技能，主动钻研难点操作、弥补能力短板。</w:t>
      </w:r>
    </w:p>
    <w:p w14:paraId="1917A4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5.培养学生责任担当品格，对实训成果负责，主动承担团队分工，勇于正视并纠正自身操作失误。</w:t>
      </w:r>
    </w:p>
    <w:p w14:paraId="47FF0B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2F32B8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1.职业道德：树立“爱岗敬业、诚实守信、精益求精”的职业理念，遵守畜牧行业职业道德规范，如实记录实训数据，不篡改成果。</w:t>
      </w:r>
    </w:p>
    <w:p w14:paraId="7AC77B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2.工匠精神：培育“严谨细致、追求卓越、持之以恒”的工匠精神，对鸡人工授精等难点操作反复打磨，杜绝投机取巧。</w:t>
      </w:r>
    </w:p>
    <w:p w14:paraId="69349C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3.法治意识：增强法治观念，自觉遵守《畜牧法》《食品安全法》等行业法规，做到依法从业、合规操作。</w:t>
      </w:r>
    </w:p>
    <w:p w14:paraId="6D673D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4.社会责任：强化“服务三农、助力畜牧”的责任担当，理解实训技能对行业提质增效的作用，树立为畜牧行业发展贡献力量的信念。</w:t>
      </w:r>
    </w:p>
    <w:p w14:paraId="09412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5.家国情怀：结合我国畜牧产业绿色转型、标准化发展成就，激发民族自豪感，培养“强国有我”的使命意识。</w:t>
      </w:r>
    </w:p>
    <w:p w14:paraId="701DE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6.生态文明：树立绿色发展理念，在秸秆氨化、青贮加工实训中做好废弃物合理处理，践行生态责任。</w:t>
      </w:r>
    </w:p>
    <w:p w14:paraId="41610E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7</w:t>
      </w:r>
      <w:r>
        <w:rPr>
          <w:rFonts w:hint="eastAsia" w:asciiTheme="minorEastAsia" w:hAnsiTheme="minorEastAsia" w:eastAsiaTheme="minorEastAsia" w:cstheme="minorEastAsia"/>
          <w:sz w:val="24"/>
          <w:szCs w:val="24"/>
          <w:lang w:val="en-US" w:eastAsia="zh-CN"/>
        </w:rPr>
        <w:t>.创新意识：鼓励探索实训操作优化方法，突破固有思维模式，培养勇于尝试、主动钻研的创新精神。</w:t>
      </w:r>
    </w:p>
    <w:p w14:paraId="7C46FF53">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959"/>
        <w:gridCol w:w="1325"/>
        <w:gridCol w:w="1654"/>
        <w:gridCol w:w="2060"/>
        <w:gridCol w:w="1193"/>
      </w:tblGrid>
      <w:tr w14:paraId="633F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42" w:type="pct"/>
          </w:tcPr>
          <w:p w14:paraId="3BE1AE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994" w:type="pct"/>
          </w:tcPr>
          <w:p w14:paraId="084A16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672" w:type="pct"/>
          </w:tcPr>
          <w:p w14:paraId="24505E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39" w:type="pct"/>
          </w:tcPr>
          <w:p w14:paraId="229C78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5" w:type="pct"/>
          </w:tcPr>
          <w:p w14:paraId="563F10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605" w:type="pct"/>
          </w:tcPr>
          <w:p w14:paraId="1FA51F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E9A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75FB965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第一阶段 饲料原料识别</w:t>
            </w:r>
          </w:p>
        </w:tc>
        <w:tc>
          <w:tcPr>
            <w:tcW w:w="994" w:type="pct"/>
            <w:vAlign w:val="top"/>
          </w:tcPr>
          <w:p w14:paraId="22AB165E">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强化原料品质把控意识，渗透食品安全责任，树立“源头把控”的职业理念；2. 合理甄别原料，培养节约不浪费、杜绝劣质原料使用的职业习惯</w:t>
            </w:r>
          </w:p>
        </w:tc>
        <w:tc>
          <w:tcPr>
            <w:tcW w:w="672" w:type="pct"/>
            <w:vAlign w:val="top"/>
          </w:tcPr>
          <w:p w14:paraId="3279D68E">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常见能量饲料、蛋白质饲料的分类、外观识别及优劣鉴别，建立原料品质把控意识</w:t>
            </w:r>
          </w:p>
        </w:tc>
        <w:tc>
          <w:tcPr>
            <w:tcW w:w="839" w:type="pct"/>
            <w:vAlign w:val="top"/>
          </w:tcPr>
          <w:p w14:paraId="424FC3C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能量饲料、蛋白质饲料的分类标准及常见品种；2. 玉米、豆粕、麸皮等原料的外观、气味特征；3. 原料霉变、掺杂等劣质情况的简易鉴别要点；4. 饲料原料品质与畜禽养殖安全的关联</w:t>
            </w:r>
          </w:p>
        </w:tc>
        <w:tc>
          <w:tcPr>
            <w:tcW w:w="1045" w:type="pct"/>
            <w:vAlign w:val="top"/>
          </w:tcPr>
          <w:p w14:paraId="0F9636D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能准确区分不同类型饲料原料，说出各类原料的核心特征；2. 能通过感官指标鉴别原料优劣，排查劣质原料；3. 能规范记录原料识别结果，形成基础识别报告</w:t>
            </w:r>
          </w:p>
        </w:tc>
        <w:tc>
          <w:tcPr>
            <w:tcW w:w="605" w:type="pct"/>
            <w:vAlign w:val="top"/>
          </w:tcPr>
          <w:p w14:paraId="6427504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4</w:t>
            </w:r>
          </w:p>
        </w:tc>
      </w:tr>
      <w:tr w14:paraId="362A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7319383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第二阶段 饲料总磷含量测定</w:t>
            </w:r>
          </w:p>
        </w:tc>
        <w:tc>
          <w:tcPr>
            <w:tcW w:w="994" w:type="pct"/>
            <w:vAlign w:val="top"/>
          </w:tcPr>
          <w:p w14:paraId="4C796B3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如实记录检测数据，坚守数据真实底线，培养诚实守信的职业品格；2. 精准操作每一步流程，锤炼严谨细致、精益求精的工匠精神</w:t>
            </w:r>
          </w:p>
        </w:tc>
        <w:tc>
          <w:tcPr>
            <w:tcW w:w="672" w:type="pct"/>
            <w:vAlign w:val="top"/>
          </w:tcPr>
          <w:p w14:paraId="4CC520A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饲料总磷含量的检测操作、数据记录、结果判定及误差分析</w:t>
            </w:r>
          </w:p>
        </w:tc>
        <w:tc>
          <w:tcPr>
            <w:tcW w:w="839" w:type="pct"/>
            <w:vAlign w:val="top"/>
          </w:tcPr>
          <w:p w14:paraId="2D963DB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总磷测定的核心原理与试剂配比要求；2. 检测仪器的安全操作规范与误差控制要点；3. 测定结果的判定标准与原始数据记录要求；4. 常见检测误差的成因与规避方法</w:t>
            </w:r>
          </w:p>
        </w:tc>
        <w:tc>
          <w:tcPr>
            <w:tcW w:w="1045" w:type="pct"/>
            <w:vAlign w:val="top"/>
          </w:tcPr>
          <w:p w14:paraId="64104DC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能规范配制检测试剂，正确操作检测仪器；2. 能按流程完成检测操作，准确记录原始数据；3. 能依据标准判定检测结果，初步分析误差原因</w:t>
            </w:r>
          </w:p>
        </w:tc>
        <w:tc>
          <w:tcPr>
            <w:tcW w:w="605" w:type="pct"/>
            <w:vAlign w:val="top"/>
          </w:tcPr>
          <w:p w14:paraId="40F7FA0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2</w:t>
            </w:r>
          </w:p>
        </w:tc>
      </w:tr>
      <w:tr w14:paraId="7B2A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2208973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第三阶段 秸秆氨化及品质鉴定</w:t>
            </w:r>
          </w:p>
        </w:tc>
        <w:tc>
          <w:tcPr>
            <w:tcW w:w="994" w:type="pct"/>
            <w:vAlign w:val="top"/>
          </w:tcPr>
          <w:p w14:paraId="054D4EC2">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践行秸秆资源化利用技术，树立绿色生态、循环农业的发展理念；2. 严格把控氨化参数，培养对实训成果负责、精益求精的职业态度</w:t>
            </w:r>
          </w:p>
        </w:tc>
        <w:tc>
          <w:tcPr>
            <w:tcW w:w="672" w:type="pct"/>
            <w:vAlign w:val="top"/>
          </w:tcPr>
          <w:p w14:paraId="14D8EBFE">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秸秆氨化的基础操作、关键参数控制及氨化后秸秆的感官品质评定</w:t>
            </w:r>
          </w:p>
        </w:tc>
        <w:tc>
          <w:tcPr>
            <w:tcW w:w="839" w:type="pct"/>
            <w:vAlign w:val="top"/>
          </w:tcPr>
          <w:p w14:paraId="52B15C9F">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秸秆氨化的原理与核心操作流程；2. 氨化处理中温度、时间、氨用量的关键控制参数；3. 氨化秸秆品质的感官评定标准（色、香、质地）；4. 氨化操作的安全防护要求</w:t>
            </w:r>
          </w:p>
        </w:tc>
        <w:tc>
          <w:tcPr>
            <w:tcW w:w="1045" w:type="pct"/>
            <w:vAlign w:val="top"/>
          </w:tcPr>
          <w:p w14:paraId="3F52E5E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能规范完成秸秆氨化的基础操作，控制关键参数；2. 能通过感官指标评定氨化秸秆品质，区分合格与不合格产品；3. 能规范做好氨化操作安全防护</w:t>
            </w:r>
          </w:p>
        </w:tc>
        <w:tc>
          <w:tcPr>
            <w:tcW w:w="605" w:type="pct"/>
            <w:vAlign w:val="top"/>
          </w:tcPr>
          <w:p w14:paraId="67D4B8A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2</w:t>
            </w:r>
          </w:p>
        </w:tc>
      </w:tr>
      <w:tr w14:paraId="42CA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56154AF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第四阶段 青贮饲料加工工艺讲解与操作示范</w:t>
            </w:r>
          </w:p>
        </w:tc>
        <w:tc>
          <w:tcPr>
            <w:tcW w:w="994" w:type="pct"/>
            <w:vAlign w:val="top"/>
          </w:tcPr>
          <w:p w14:paraId="483531D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强化饲料资源循环利用意识，践行绿色养殖理念；2. 注重工艺细节把控，培育对养殖生产负责的责任担当精神</w:t>
            </w:r>
          </w:p>
        </w:tc>
        <w:tc>
          <w:tcPr>
            <w:tcW w:w="672" w:type="pct"/>
            <w:vAlign w:val="top"/>
          </w:tcPr>
          <w:p w14:paraId="2EAC2AC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青贮饲料加工工艺的学习、核心环节实操及操作规范掌握</w:t>
            </w:r>
          </w:p>
        </w:tc>
        <w:tc>
          <w:tcPr>
            <w:tcW w:w="839" w:type="pct"/>
            <w:vAlign w:val="top"/>
          </w:tcPr>
          <w:p w14:paraId="421051A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青贮饲料加工的核心原理与完整工艺要点；2. 青贮原料选择、切碎、压实、密封的关键要求；3. 加工过程中的质量把控节点与安全操作规范；4. 青贮饲料加工与畜禽养殖成本控制的关联</w:t>
            </w:r>
          </w:p>
        </w:tc>
        <w:tc>
          <w:tcPr>
            <w:tcW w:w="1045" w:type="pct"/>
            <w:vAlign w:val="top"/>
          </w:tcPr>
          <w:p w14:paraId="349B876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能理解并复述青贮饲料加工的完整工艺逻辑；2. 能跟随示范规范完成原料处理、压实、密封等核心环节操作；3. 能识别加工过程中的质量隐患，提出基础规避建议</w:t>
            </w:r>
          </w:p>
        </w:tc>
        <w:tc>
          <w:tcPr>
            <w:tcW w:w="605" w:type="pct"/>
            <w:vAlign w:val="top"/>
          </w:tcPr>
          <w:p w14:paraId="29CDB40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4</w:t>
            </w:r>
          </w:p>
        </w:tc>
      </w:tr>
      <w:tr w14:paraId="7AA6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7DBBA7B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第五阶段 青贮饲料品质鉴定</w:t>
            </w:r>
          </w:p>
        </w:tc>
        <w:tc>
          <w:tcPr>
            <w:tcW w:w="994" w:type="pct"/>
            <w:vAlign w:val="top"/>
          </w:tcPr>
          <w:p w14:paraId="1796683B">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严谨判定每一批次青贮品质，培养科学公正的职业素养；2. 重视青贮品质对养殖效益的影响，锤炼追求卓越的工匠精神</w:t>
            </w:r>
          </w:p>
        </w:tc>
        <w:tc>
          <w:tcPr>
            <w:tcW w:w="672" w:type="pct"/>
            <w:vAlign w:val="top"/>
          </w:tcPr>
          <w:p w14:paraId="113D4D0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青贮饲料感官指标与简易理化指标的检测、品质等级划分及结果分析</w:t>
            </w:r>
          </w:p>
          <w:p w14:paraId="0694733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p>
        </w:tc>
        <w:tc>
          <w:tcPr>
            <w:tcW w:w="839" w:type="pct"/>
            <w:vAlign w:val="top"/>
          </w:tcPr>
          <w:p w14:paraId="2032DCD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青贮饲料品质的感官评定标准（色、香、味、质地）；2. 青贮饲料水分、pH值等简易理化指标的检测方法；3. 青贮饲料品质等级的划分依据与判定标准；4. 劣质青贮饲料对畜禽生长的影响</w:t>
            </w:r>
          </w:p>
        </w:tc>
        <w:tc>
          <w:tcPr>
            <w:tcW w:w="1045" w:type="pct"/>
            <w:vAlign w:val="top"/>
          </w:tcPr>
          <w:p w14:paraId="5EFE20E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1. 能通过感官指标精准判定青贮饲料品质；2. 能规范完成简易理化指标检测，记录检测数据；3. 能依据标准划分青贮饲料品质等级，分析劣质成因</w:t>
            </w:r>
          </w:p>
        </w:tc>
        <w:tc>
          <w:tcPr>
            <w:tcW w:w="605" w:type="pct"/>
            <w:vAlign w:val="top"/>
          </w:tcPr>
          <w:p w14:paraId="07B8B35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4</w:t>
            </w:r>
          </w:p>
        </w:tc>
      </w:tr>
      <w:tr w14:paraId="205C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20AABBF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第六阶段 观察家畜生殖器官</w:t>
            </w:r>
          </w:p>
          <w:p w14:paraId="51A3F22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p>
        </w:tc>
        <w:tc>
          <w:tcPr>
            <w:tcW w:w="994" w:type="pct"/>
            <w:vAlign w:val="top"/>
          </w:tcPr>
          <w:p w14:paraId="3C76490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尊重生物标本与生命规律，培养敬畏生命、关爱动物的职业操守；2. 认真观察对比结构差异，渗透严谨求实的科学素养</w:t>
            </w:r>
          </w:p>
        </w:tc>
        <w:tc>
          <w:tcPr>
            <w:tcW w:w="672" w:type="pct"/>
            <w:vAlign w:val="top"/>
          </w:tcPr>
          <w:p w14:paraId="30879401">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雌雄家畜生殖器官的识别、形态观察及生理功能认知</w:t>
            </w:r>
          </w:p>
        </w:tc>
        <w:tc>
          <w:tcPr>
            <w:tcW w:w="839" w:type="pct"/>
            <w:vAlign w:val="top"/>
          </w:tcPr>
          <w:p w14:paraId="171D104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牛、羊、猪雌雄生殖器官的解剖结构；2. 卵巢、睾丸、子宫等关键部位的形态特征与生理功能；3. 生殖器官结构与畜禽繁殖功能的关联；4. 生物标本的规范观察与保护要求</w:t>
            </w:r>
          </w:p>
        </w:tc>
        <w:tc>
          <w:tcPr>
            <w:tcW w:w="1045" w:type="pct"/>
            <w:vAlign w:val="top"/>
          </w:tcPr>
          <w:p w14:paraId="3D6BABA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能准确识别雌雄家畜生殖器官的主要结构，标注关键部位；2. 能描述关键部位的形态特征与对应生理功能；3. 能规范操作生物标本，做好标本保护</w:t>
            </w:r>
          </w:p>
        </w:tc>
        <w:tc>
          <w:tcPr>
            <w:tcW w:w="605" w:type="pct"/>
            <w:vAlign w:val="top"/>
          </w:tcPr>
          <w:p w14:paraId="6665BCF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2</w:t>
            </w:r>
          </w:p>
        </w:tc>
      </w:tr>
      <w:tr w14:paraId="3F69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0E5D6AB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第七阶段 鸡的人工授精操作</w:t>
            </w:r>
          </w:p>
        </w:tc>
        <w:tc>
          <w:tcPr>
            <w:tcW w:w="994" w:type="pct"/>
            <w:vAlign w:val="top"/>
          </w:tcPr>
          <w:p w14:paraId="5144880C">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轻柔操作种鸡，强化动物福利理念，培养关爱动物的职业情怀；2. 反复打磨操作技能，培育精益求精、追求高效的工匠精神</w:t>
            </w:r>
          </w:p>
        </w:tc>
        <w:tc>
          <w:tcPr>
            <w:tcW w:w="672" w:type="pct"/>
            <w:vAlign w:val="top"/>
          </w:tcPr>
          <w:p w14:paraId="76AE3C1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鸡人工授精的全流程规范操作、风险规避及动物福利保障</w:t>
            </w:r>
          </w:p>
        </w:tc>
        <w:tc>
          <w:tcPr>
            <w:tcW w:w="839" w:type="pct"/>
            <w:vAlign w:val="top"/>
          </w:tcPr>
          <w:p w14:paraId="0E1E55D2">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鸡人工授精的原理与全流程操作规范；2. 种鸡保定、采精、输精的关键技巧与操作要点；3. 操作过程中的动物福利要求与风险规避方法；4. 人工授精操作与畜禽繁殖效率的关联</w:t>
            </w:r>
          </w:p>
        </w:tc>
        <w:tc>
          <w:tcPr>
            <w:tcW w:w="1045" w:type="pct"/>
            <w:vAlign w:val="top"/>
          </w:tcPr>
          <w:p w14:paraId="7E89775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能规范完成种鸡保定、采精、输精全流程操作，动作标准；2. 能规避操作风险，保障种鸡健康与动物福利；3. 能记录人工授精操作过程与基础效果</w:t>
            </w:r>
          </w:p>
        </w:tc>
        <w:tc>
          <w:tcPr>
            <w:tcW w:w="605" w:type="pct"/>
            <w:vAlign w:val="top"/>
          </w:tcPr>
          <w:p w14:paraId="64058D9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4</w:t>
            </w:r>
          </w:p>
        </w:tc>
      </w:tr>
      <w:tr w14:paraId="24FD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3BB6D321">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第八阶段 唾液淀粉酶活性的观察</w:t>
            </w:r>
          </w:p>
        </w:tc>
        <w:tc>
          <w:tcPr>
            <w:tcW w:w="994" w:type="pct"/>
            <w:vAlign w:val="top"/>
          </w:tcPr>
          <w:p w14:paraId="007A228C">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严谨设计实验、分析数据，培养科学思维与探索精神；2. 规范操作实验器材，树立安全实验、爱护设备的职业意识</w:t>
            </w:r>
          </w:p>
        </w:tc>
        <w:tc>
          <w:tcPr>
            <w:tcW w:w="672" w:type="pct"/>
            <w:vAlign w:val="top"/>
          </w:tcPr>
          <w:p w14:paraId="3198800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唾液淀粉酶活性的影响因素观察、实验设计及结果分析</w:t>
            </w:r>
          </w:p>
        </w:tc>
        <w:tc>
          <w:tcPr>
            <w:tcW w:w="839" w:type="pct"/>
            <w:vAlign w:val="top"/>
          </w:tcPr>
          <w:p w14:paraId="65E3AF2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唾液淀粉酶的作用原理与催化特性；2. 温度、pH值对酶活性的影响机制；3. 实验变量控制方法与结果观察、记录要求；4. 实验器材的规范使用与维护要点</w:t>
            </w:r>
          </w:p>
        </w:tc>
        <w:tc>
          <w:tcPr>
            <w:tcW w:w="1045" w:type="pct"/>
            <w:vAlign w:val="top"/>
          </w:tcPr>
          <w:p w14:paraId="707608C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能搭建实验体系，规范控制温度、pH值等变量；2. 能观察分析不同条件下酶活性的变化，记录实验现象；3. 能规范使用与维护实验器材，做好实验收尾</w:t>
            </w:r>
          </w:p>
        </w:tc>
        <w:tc>
          <w:tcPr>
            <w:tcW w:w="605" w:type="pct"/>
            <w:vAlign w:val="top"/>
          </w:tcPr>
          <w:p w14:paraId="64DBC55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2</w:t>
            </w:r>
          </w:p>
        </w:tc>
      </w:tr>
      <w:tr w14:paraId="4439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top"/>
          </w:tcPr>
          <w:p w14:paraId="7261AFD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第九阶段 牛奶中酪蛋白的分离制备</w:t>
            </w:r>
          </w:p>
        </w:tc>
        <w:tc>
          <w:tcPr>
            <w:tcW w:w="994" w:type="pct"/>
            <w:vAlign w:val="top"/>
          </w:tcPr>
          <w:p w14:paraId="126C65D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1. 注重食品加工安全与品质，渗透行业伦理与责任；2. 合理利用牛奶原料，培养节约资源、减少浪费的职业习惯</w:t>
            </w:r>
          </w:p>
          <w:p w14:paraId="0729FC4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p>
        </w:tc>
        <w:tc>
          <w:tcPr>
            <w:tcW w:w="672" w:type="pct"/>
            <w:vAlign w:val="top"/>
          </w:tcPr>
          <w:p w14:paraId="53DBAAED">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宋体" w:hAnsi="宋体" w:eastAsia="宋体" w:cs="宋体"/>
                <w:sz w:val="24"/>
                <w:szCs w:val="24"/>
                <w:lang w:val="en-US" w:eastAsia="zh-CN"/>
              </w:rPr>
            </w:pPr>
            <w:r>
              <w:rPr>
                <w:rFonts w:ascii="宋体" w:hAnsi="宋体" w:eastAsia="宋体" w:cs="宋体"/>
                <w:kern w:val="0"/>
                <w:sz w:val="20"/>
                <w:szCs w:val="20"/>
                <w:lang w:val="en-US" w:eastAsia="zh-CN" w:bidi="ar"/>
              </w:rPr>
              <w:t>牛奶中酪蛋白的分离、提纯及纯度简易鉴别</w:t>
            </w:r>
          </w:p>
        </w:tc>
        <w:tc>
          <w:tcPr>
            <w:tcW w:w="839" w:type="pct"/>
            <w:vAlign w:val="top"/>
          </w:tcPr>
          <w:p w14:paraId="14A283F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酪蛋白分离的核心原理与试剂作用；2. 分离、提纯的完整操作流程与安全规范；3. 酪蛋白纯度的简易鉴别方法；4. 食品加工中原料利用率的控制要点</w:t>
            </w:r>
          </w:p>
        </w:tc>
        <w:tc>
          <w:tcPr>
            <w:tcW w:w="1045" w:type="pct"/>
            <w:vAlign w:val="top"/>
          </w:tcPr>
          <w:p w14:paraId="7800956E">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1. 能规范完成酪蛋白分离、提纯全流程操作；2. 能通过简易方法鉴别酪蛋白纯度；3. 能合理控制试剂用量，提高原料利用率</w:t>
            </w:r>
          </w:p>
        </w:tc>
        <w:tc>
          <w:tcPr>
            <w:tcW w:w="605" w:type="pct"/>
            <w:vAlign w:val="top"/>
          </w:tcPr>
          <w:p w14:paraId="76F3665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2</w:t>
            </w:r>
          </w:p>
        </w:tc>
      </w:tr>
    </w:tbl>
    <w:p w14:paraId="75D0440E">
      <w:pPr>
        <w:pStyle w:val="3"/>
        <w:bidi w:val="0"/>
        <w:rPr>
          <w:rFonts w:hint="eastAsia"/>
          <w:lang w:val="en-US" w:eastAsia="zh-CN"/>
        </w:rPr>
      </w:pPr>
      <w:r>
        <w:rPr>
          <w:rFonts w:hint="eastAsia"/>
          <w:lang w:val="en-US" w:eastAsia="zh-CN"/>
        </w:rPr>
        <w:t>六、课程考核与评价</w:t>
      </w:r>
    </w:p>
    <w:p w14:paraId="7DB47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5076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A1EB54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285DFD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B225E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498885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965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35506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D4837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B8C2B2F">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实训出勤与纪律</w:t>
            </w:r>
          </w:p>
        </w:tc>
        <w:tc>
          <w:tcPr>
            <w:tcW w:w="1311" w:type="dxa"/>
            <w:tcBorders>
              <w:left w:val="single" w:color="auto" w:sz="4" w:space="0"/>
              <w:right w:val="single" w:color="auto" w:sz="4" w:space="0"/>
            </w:tcBorders>
            <w:shd w:val="clear" w:color="auto" w:fill="auto"/>
            <w:vAlign w:val="center"/>
          </w:tcPr>
          <w:p w14:paraId="5FBA6A91">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807A206">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教师全程考勤记录，结合实训场地规范、器材使用纪律遵守情况</w:t>
            </w:r>
          </w:p>
        </w:tc>
      </w:tr>
      <w:tr w14:paraId="157C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11EAE8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00084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操作评价</w:t>
            </w:r>
          </w:p>
        </w:tc>
        <w:tc>
          <w:tcPr>
            <w:tcW w:w="2108" w:type="dxa"/>
            <w:tcBorders>
              <w:left w:val="single" w:color="auto" w:sz="4" w:space="0"/>
              <w:right w:val="single" w:color="auto" w:sz="4" w:space="0"/>
            </w:tcBorders>
            <w:vAlign w:val="center"/>
          </w:tcPr>
          <w:p w14:paraId="0EB42590">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实训操作表现</w:t>
            </w:r>
          </w:p>
        </w:tc>
        <w:tc>
          <w:tcPr>
            <w:tcW w:w="1311" w:type="dxa"/>
            <w:tcBorders>
              <w:left w:val="single" w:color="auto" w:sz="4" w:space="0"/>
              <w:right w:val="single" w:color="auto" w:sz="4" w:space="0"/>
            </w:tcBorders>
            <w:vAlign w:val="center"/>
          </w:tcPr>
          <w:p w14:paraId="7406638C">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30%</w:t>
            </w:r>
          </w:p>
        </w:tc>
        <w:tc>
          <w:tcPr>
            <w:tcW w:w="3540" w:type="dxa"/>
            <w:tcBorders>
              <w:left w:val="single" w:color="auto" w:sz="4" w:space="0"/>
              <w:right w:val="single" w:color="auto" w:sz="4" w:space="0"/>
            </w:tcBorders>
            <w:vAlign w:val="center"/>
          </w:tcPr>
          <w:p w14:paraId="3F1BDD41">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教师现场巡查打分、分组互评佐证，覆盖九个实训项目全流程</w:t>
            </w:r>
          </w:p>
        </w:tc>
      </w:tr>
      <w:tr w14:paraId="0E18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E4DED4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72E85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记录评价</w:t>
            </w:r>
          </w:p>
        </w:tc>
        <w:tc>
          <w:tcPr>
            <w:tcW w:w="2108" w:type="dxa"/>
            <w:tcBorders>
              <w:left w:val="single" w:color="auto" w:sz="4" w:space="0"/>
              <w:right w:val="single" w:color="auto" w:sz="4" w:space="0"/>
            </w:tcBorders>
            <w:vAlign w:val="center"/>
          </w:tcPr>
          <w:p w14:paraId="339FBCDC">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实训记录与成果</w:t>
            </w:r>
          </w:p>
        </w:tc>
        <w:tc>
          <w:tcPr>
            <w:tcW w:w="1311" w:type="dxa"/>
            <w:tcBorders>
              <w:left w:val="single" w:color="auto" w:sz="4" w:space="0"/>
              <w:right w:val="single" w:color="auto" w:sz="4" w:space="0"/>
            </w:tcBorders>
            <w:vAlign w:val="center"/>
          </w:tcPr>
          <w:p w14:paraId="0148206D">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0AC6EAE">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核查各实训项目原始记录、成果报告及实操成品（如氨化秸秆、青贮饲料）</w:t>
            </w:r>
          </w:p>
        </w:tc>
      </w:tr>
      <w:tr w14:paraId="41A8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13F8CE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6E732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思政评价</w:t>
            </w:r>
          </w:p>
        </w:tc>
        <w:tc>
          <w:tcPr>
            <w:tcW w:w="2108" w:type="dxa"/>
            <w:tcBorders>
              <w:left w:val="single" w:color="auto" w:sz="4" w:space="0"/>
              <w:right w:val="single" w:color="auto" w:sz="4" w:space="0"/>
            </w:tcBorders>
            <w:vAlign w:val="center"/>
          </w:tcPr>
          <w:p w14:paraId="0D27611E">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思政素养表现</w:t>
            </w:r>
          </w:p>
        </w:tc>
        <w:tc>
          <w:tcPr>
            <w:tcW w:w="1311" w:type="dxa"/>
            <w:tcBorders>
              <w:left w:val="single" w:color="auto" w:sz="4" w:space="0"/>
              <w:right w:val="single" w:color="auto" w:sz="4" w:space="0"/>
            </w:tcBorders>
            <w:vAlign w:val="center"/>
          </w:tcPr>
          <w:p w14:paraId="4597F637">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C31251F">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结合实训过程职业行为逐项记录，聚焦安全、诚信、环保等维度</w:t>
            </w:r>
          </w:p>
        </w:tc>
      </w:tr>
      <w:tr w14:paraId="743C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E2637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549D2CD2">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核心技能综合考核</w:t>
            </w:r>
          </w:p>
        </w:tc>
        <w:tc>
          <w:tcPr>
            <w:tcW w:w="1311" w:type="dxa"/>
            <w:tcBorders>
              <w:left w:val="single" w:color="auto" w:sz="4" w:space="0"/>
              <w:right w:val="single" w:color="auto" w:sz="4" w:space="0"/>
            </w:tcBorders>
            <w:vAlign w:val="center"/>
          </w:tcPr>
          <w:p w14:paraId="7F9F5BA7">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40%</w:t>
            </w:r>
          </w:p>
        </w:tc>
        <w:tc>
          <w:tcPr>
            <w:tcW w:w="3540" w:type="dxa"/>
            <w:tcBorders>
              <w:left w:val="single" w:color="auto" w:sz="4" w:space="0"/>
              <w:right w:val="single" w:color="auto" w:sz="4" w:space="0"/>
            </w:tcBorders>
            <w:vAlign w:val="center"/>
          </w:tcPr>
          <w:p w14:paraId="7A310DD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实训末期集中考核，随机抽取3项核心实训（覆盖饲料加工、畜禽繁殖、乳制品加工三大类），现场实操并应答关键要点</w:t>
            </w:r>
          </w:p>
        </w:tc>
      </w:tr>
    </w:tbl>
    <w:p w14:paraId="48050483">
      <w:pPr>
        <w:pStyle w:val="3"/>
        <w:bidi w:val="0"/>
        <w:rPr>
          <w:rFonts w:hint="eastAsia"/>
          <w:lang w:val="en-US" w:eastAsia="zh-CN"/>
        </w:rPr>
      </w:pPr>
      <w:r>
        <w:rPr>
          <w:rFonts w:hint="eastAsia"/>
          <w:lang w:val="en-US" w:eastAsia="zh-CN"/>
        </w:rPr>
        <w:t>七、课程实施与保障</w:t>
      </w:r>
    </w:p>
    <w:p w14:paraId="5DFAA7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EBB0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项目驱动+模块化实操”教学方法，结合线上线下混合式教学组织形式，适配26学时全实践集中实训属性。教学中融合信息化教学法、小组协作法、示范纠错法，依托校内学习通、虚拟仿真、实训视频资源库等平台实施教学。学习方法上采用“实操演练+互助互评+复盘总结”模式，让学生在动手实践中夯实技能。具体流程为：课前通过线上平台推送实训项目原理、操作视频及安全规范，引导学生预习；课中采用“教师示范讲解—分组实操演练—教师一对一纠错—小组互评交流”四步流程，针对鸡人工授精、青贮饲料加工等难点项目，增加示范频次与针对性指导；课后布置实训报告撰写任务，鼓励学生自主钻研操作短板，实现“课前预习—课中实操—课后巩固”的闭环教学。</w:t>
      </w:r>
    </w:p>
    <w:p w14:paraId="62FC31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3F0B2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技能筑基、思政铸魂”的课程思政价值链，结合畜牧行业发展政策、行业榜样事迹及实训场景，实现专业技能与思政教育深度融合。一是融入产业政策与行业成就，结合我国畜牧产业绿色转型、标准化养殖发展成果及乡村振兴战略对畜牧行业的需求，增强学生行业认同感与学习动力；二是融入工匠精神，讲述畜牧行业技术能手深耕一线、打磨技能的事迹，引导学生对鸡人工授精、饲料检测等实操项目精益求精，杜绝投机取巧；三是融入生态文明与社会责任，在秸秆氨化、青贮加工实训中，强调废弃物资源化利用，践行绿色养殖理念，强化“服务三农、助力畜牧”的责任担当；四是融入法治与安全意识，结合《畜牧法》《食品安全法》相关条款，规范实训操作行为，培养合规执业理念，同时强化实训安全警示教育，提高学生安全防护能力；五是融入创新与诚信品质，鼓励学生探索实训操作优化方法，培养创新思维，同时要求如实记录实训数据，杜绝篡改成果，坚守职业诚信底线。</w:t>
      </w:r>
    </w:p>
    <w:p w14:paraId="5758AE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AE4A6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DBDAE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专兼职教师团队13人，其中，专职教师11人，兼职教师2人，团队成员在学历、职称等方面形成梯队结构，知识结构合理，专业带头人与骨干教师具备职业实践经历，掌握现代教育理论，具有课程体系和项目化课程的开发能力。兼职教师来自学院建立的兼职教师资源库，分别是畜牧兽医行业内企业、兽药店、兽医院、兽药厂、饲料加工厂、养殖场、动物疫控中心、动物防疫检疫单位、农业科研单位等，具有丰富的生产实践经验，能满足本专业教学特别是生产性实训教学需要，并建立定期开展专业（学科）教研机制。</w:t>
      </w:r>
    </w:p>
    <w:p w14:paraId="4878F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3A09C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实施课程教学，校内具备以下实训条件：多媒体专业教室、教学做一体化实训室和相关实训仪器。</w:t>
      </w:r>
    </w:p>
    <w:tbl>
      <w:tblPr>
        <w:tblStyle w:val="27"/>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559"/>
        <w:gridCol w:w="4038"/>
        <w:gridCol w:w="2456"/>
      </w:tblGrid>
      <w:tr w14:paraId="05FF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242BA98A">
            <w:pPr>
              <w:pStyle w:val="9"/>
              <w:widowControl/>
              <w:ind w:firstLine="0" w:firstLineChars="0"/>
              <w:jc w:val="left"/>
              <w:rPr>
                <w:rFonts w:ascii="宋体" w:hAnsi="宋体" w:cs="宋体"/>
                <w:iCs/>
                <w:kern w:val="0"/>
                <w:sz w:val="21"/>
                <w:szCs w:val="21"/>
              </w:rPr>
            </w:pPr>
            <w:r>
              <w:rPr>
                <w:rFonts w:hint="eastAsia" w:ascii="宋体" w:hAnsi="宋体" w:cs="宋体"/>
                <w:iCs/>
                <w:kern w:val="0"/>
                <w:sz w:val="21"/>
                <w:szCs w:val="21"/>
              </w:rPr>
              <w:t>序号</w:t>
            </w:r>
          </w:p>
        </w:tc>
        <w:tc>
          <w:tcPr>
            <w:tcW w:w="1303" w:type="pct"/>
            <w:noWrap w:val="0"/>
            <w:vAlign w:val="top"/>
          </w:tcPr>
          <w:p w14:paraId="0370A059">
            <w:pPr>
              <w:pStyle w:val="9"/>
              <w:widowControl/>
              <w:ind w:firstLine="0" w:firstLineChars="0"/>
              <w:jc w:val="left"/>
              <w:rPr>
                <w:rFonts w:ascii="宋体" w:hAnsi="宋体" w:cs="宋体"/>
                <w:iCs/>
                <w:kern w:val="0"/>
                <w:sz w:val="21"/>
                <w:szCs w:val="21"/>
              </w:rPr>
            </w:pPr>
            <w:r>
              <w:rPr>
                <w:rFonts w:hint="eastAsia" w:ascii="宋体" w:hAnsi="宋体" w:cs="宋体"/>
                <w:iCs/>
                <w:kern w:val="0"/>
                <w:sz w:val="21"/>
                <w:szCs w:val="21"/>
              </w:rPr>
              <w:t>名称</w:t>
            </w:r>
          </w:p>
        </w:tc>
        <w:tc>
          <w:tcPr>
            <w:tcW w:w="2056" w:type="pct"/>
            <w:noWrap w:val="0"/>
            <w:vAlign w:val="top"/>
          </w:tcPr>
          <w:p w14:paraId="12689B1D">
            <w:pPr>
              <w:pStyle w:val="9"/>
              <w:widowControl/>
              <w:ind w:firstLine="0" w:firstLineChars="0"/>
              <w:jc w:val="left"/>
              <w:rPr>
                <w:rFonts w:ascii="宋体" w:hAnsi="宋体" w:cs="宋体"/>
                <w:iCs/>
                <w:kern w:val="0"/>
                <w:sz w:val="21"/>
                <w:szCs w:val="21"/>
              </w:rPr>
            </w:pPr>
            <w:r>
              <w:rPr>
                <w:rFonts w:hint="eastAsia" w:ascii="宋体" w:hAnsi="宋体" w:cs="宋体"/>
                <w:iCs/>
                <w:kern w:val="0"/>
                <w:sz w:val="21"/>
                <w:szCs w:val="21"/>
              </w:rPr>
              <w:t>基本配置要求</w:t>
            </w:r>
          </w:p>
        </w:tc>
        <w:tc>
          <w:tcPr>
            <w:tcW w:w="1250" w:type="pct"/>
            <w:noWrap w:val="0"/>
            <w:vAlign w:val="top"/>
          </w:tcPr>
          <w:p w14:paraId="473E7F74">
            <w:pPr>
              <w:pStyle w:val="9"/>
              <w:widowControl/>
              <w:ind w:firstLine="0" w:firstLineChars="0"/>
              <w:jc w:val="left"/>
              <w:rPr>
                <w:rFonts w:ascii="宋体" w:hAnsi="宋体" w:cs="宋体"/>
                <w:iCs/>
                <w:kern w:val="0"/>
                <w:sz w:val="21"/>
                <w:szCs w:val="21"/>
              </w:rPr>
            </w:pPr>
            <w:r>
              <w:rPr>
                <w:rFonts w:hint="eastAsia" w:ascii="宋体" w:hAnsi="宋体" w:cs="宋体"/>
                <w:iCs/>
                <w:kern w:val="0"/>
                <w:sz w:val="21"/>
                <w:szCs w:val="21"/>
              </w:rPr>
              <w:t>功能说明</w:t>
            </w:r>
          </w:p>
        </w:tc>
      </w:tr>
      <w:tr w14:paraId="06A1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185D1EF3">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w:t>
            </w:r>
          </w:p>
        </w:tc>
        <w:tc>
          <w:tcPr>
            <w:tcW w:w="1303" w:type="pct"/>
            <w:noWrap w:val="0"/>
            <w:vAlign w:val="top"/>
          </w:tcPr>
          <w:p w14:paraId="74E70F4D">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动物微生物检测实训室</w:t>
            </w:r>
          </w:p>
        </w:tc>
        <w:tc>
          <w:tcPr>
            <w:tcW w:w="2056" w:type="pct"/>
            <w:noWrap w:val="0"/>
            <w:vAlign w:val="top"/>
          </w:tcPr>
          <w:p w14:paraId="4A881B8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提供微生物检测设备、进行微生物检验观察、培养</w:t>
            </w:r>
          </w:p>
        </w:tc>
        <w:tc>
          <w:tcPr>
            <w:tcW w:w="1250" w:type="pct"/>
            <w:noWrap w:val="0"/>
            <w:vAlign w:val="top"/>
          </w:tcPr>
          <w:p w14:paraId="77EAE56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微生物的分离、培养技术</w:t>
            </w:r>
          </w:p>
        </w:tc>
      </w:tr>
      <w:tr w14:paraId="398B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695AD4A0">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2</w:t>
            </w:r>
          </w:p>
        </w:tc>
        <w:tc>
          <w:tcPr>
            <w:tcW w:w="1303" w:type="pct"/>
            <w:noWrap w:val="0"/>
            <w:vAlign w:val="top"/>
          </w:tcPr>
          <w:p w14:paraId="63C57CD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动物解剖实训室</w:t>
            </w:r>
          </w:p>
        </w:tc>
        <w:tc>
          <w:tcPr>
            <w:tcW w:w="2056" w:type="pct"/>
            <w:noWrap w:val="0"/>
            <w:vAlign w:val="top"/>
          </w:tcPr>
          <w:p w14:paraId="0E0967E2">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提供动物标本进行动物的组织器官识别</w:t>
            </w:r>
          </w:p>
        </w:tc>
        <w:tc>
          <w:tcPr>
            <w:tcW w:w="1250" w:type="pct"/>
            <w:noWrap w:val="0"/>
            <w:vAlign w:val="top"/>
          </w:tcPr>
          <w:p w14:paraId="413A272A">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识别动物解剖器官及组织结构</w:t>
            </w:r>
          </w:p>
        </w:tc>
      </w:tr>
      <w:tr w14:paraId="221D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31DAE306">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3</w:t>
            </w:r>
          </w:p>
        </w:tc>
        <w:tc>
          <w:tcPr>
            <w:tcW w:w="1303" w:type="pct"/>
            <w:noWrap w:val="0"/>
            <w:vAlign w:val="top"/>
          </w:tcPr>
          <w:p w14:paraId="25B7786C">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动物病理实训室</w:t>
            </w:r>
          </w:p>
        </w:tc>
        <w:tc>
          <w:tcPr>
            <w:tcW w:w="2056" w:type="pct"/>
            <w:noWrap w:val="0"/>
            <w:vAlign w:val="top"/>
          </w:tcPr>
          <w:p w14:paraId="625D12D9">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提供动物组织病理标本、组织切片设备</w:t>
            </w:r>
          </w:p>
        </w:tc>
        <w:tc>
          <w:tcPr>
            <w:tcW w:w="1250" w:type="pct"/>
            <w:noWrap w:val="0"/>
            <w:vAlign w:val="top"/>
          </w:tcPr>
          <w:p w14:paraId="377E9ACD">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识别病理特征、制备病理组织切片技术</w:t>
            </w:r>
          </w:p>
        </w:tc>
      </w:tr>
      <w:tr w14:paraId="115E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0E67C0A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4</w:t>
            </w:r>
          </w:p>
        </w:tc>
        <w:tc>
          <w:tcPr>
            <w:tcW w:w="1303" w:type="pct"/>
            <w:noWrap w:val="0"/>
            <w:vAlign w:val="top"/>
          </w:tcPr>
          <w:p w14:paraId="79C91FA2">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动物药理实训室</w:t>
            </w:r>
          </w:p>
        </w:tc>
        <w:tc>
          <w:tcPr>
            <w:tcW w:w="2056" w:type="pct"/>
            <w:noWrap w:val="0"/>
            <w:vAlign w:val="top"/>
          </w:tcPr>
          <w:p w14:paraId="1B7433B5">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提供药品检测及制药设备</w:t>
            </w:r>
          </w:p>
        </w:tc>
        <w:tc>
          <w:tcPr>
            <w:tcW w:w="1250" w:type="pct"/>
            <w:noWrap w:val="0"/>
            <w:vAlign w:val="top"/>
          </w:tcPr>
          <w:p w14:paraId="58AC905F">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检测和制备药品技术</w:t>
            </w:r>
          </w:p>
        </w:tc>
      </w:tr>
      <w:tr w14:paraId="51B8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42C2A5A1">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5</w:t>
            </w:r>
          </w:p>
        </w:tc>
        <w:tc>
          <w:tcPr>
            <w:tcW w:w="1303" w:type="pct"/>
            <w:noWrap w:val="0"/>
            <w:vAlign w:val="top"/>
          </w:tcPr>
          <w:p w14:paraId="5DAAD4FE">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动物传染病实训室</w:t>
            </w:r>
          </w:p>
        </w:tc>
        <w:tc>
          <w:tcPr>
            <w:tcW w:w="2056" w:type="pct"/>
            <w:noWrap w:val="0"/>
            <w:vAlign w:val="top"/>
          </w:tcPr>
          <w:p w14:paraId="5E30102C">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提供传染病病料检测设备</w:t>
            </w:r>
          </w:p>
        </w:tc>
        <w:tc>
          <w:tcPr>
            <w:tcW w:w="1250" w:type="pct"/>
            <w:noWrap w:val="0"/>
            <w:vAlign w:val="top"/>
          </w:tcPr>
          <w:p w14:paraId="3DBBF2E9">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传染病样本检测技术</w:t>
            </w:r>
          </w:p>
        </w:tc>
      </w:tr>
      <w:tr w14:paraId="0EB5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6C029433">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6</w:t>
            </w:r>
          </w:p>
        </w:tc>
        <w:tc>
          <w:tcPr>
            <w:tcW w:w="1303" w:type="pct"/>
            <w:noWrap w:val="0"/>
            <w:vAlign w:val="top"/>
          </w:tcPr>
          <w:p w14:paraId="6B3778A1">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动物寄生虫实训室</w:t>
            </w:r>
          </w:p>
        </w:tc>
        <w:tc>
          <w:tcPr>
            <w:tcW w:w="2056" w:type="pct"/>
            <w:noWrap w:val="0"/>
            <w:vAlign w:val="top"/>
          </w:tcPr>
          <w:p w14:paraId="3555724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提供动物寄生虫分离设备</w:t>
            </w:r>
          </w:p>
        </w:tc>
        <w:tc>
          <w:tcPr>
            <w:tcW w:w="1250" w:type="pct"/>
            <w:noWrap w:val="0"/>
            <w:vAlign w:val="top"/>
          </w:tcPr>
          <w:p w14:paraId="56B0677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分离及检测寄生虫虫卵虫体技术训练</w:t>
            </w:r>
          </w:p>
        </w:tc>
      </w:tr>
      <w:tr w14:paraId="7CEB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46F378BB">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7</w:t>
            </w:r>
          </w:p>
        </w:tc>
        <w:tc>
          <w:tcPr>
            <w:tcW w:w="1303" w:type="pct"/>
            <w:noWrap w:val="0"/>
            <w:vAlign w:val="top"/>
          </w:tcPr>
          <w:p w14:paraId="7058B95F">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动物外科手术实训室</w:t>
            </w:r>
          </w:p>
        </w:tc>
        <w:tc>
          <w:tcPr>
            <w:tcW w:w="2056" w:type="pct"/>
            <w:noWrap w:val="0"/>
            <w:vAlign w:val="top"/>
          </w:tcPr>
          <w:p w14:paraId="1CE1A95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提供外科手术设备</w:t>
            </w:r>
          </w:p>
        </w:tc>
        <w:tc>
          <w:tcPr>
            <w:tcW w:w="1250" w:type="pct"/>
            <w:noWrap w:val="0"/>
            <w:vAlign w:val="top"/>
          </w:tcPr>
          <w:p w14:paraId="07C1090E">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进行动物手术训练</w:t>
            </w:r>
          </w:p>
        </w:tc>
      </w:tr>
      <w:tr w14:paraId="7EDA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38E43BA3">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8</w:t>
            </w:r>
          </w:p>
        </w:tc>
        <w:tc>
          <w:tcPr>
            <w:tcW w:w="1303" w:type="pct"/>
            <w:noWrap w:val="0"/>
            <w:vAlign w:val="top"/>
          </w:tcPr>
          <w:p w14:paraId="1D674B2A">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显微镜实训室</w:t>
            </w:r>
          </w:p>
        </w:tc>
        <w:tc>
          <w:tcPr>
            <w:tcW w:w="2056" w:type="pct"/>
            <w:noWrap w:val="0"/>
            <w:vAlign w:val="top"/>
          </w:tcPr>
          <w:p w14:paraId="4F1C6109">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光学显微镜、显微镜电子显示设备</w:t>
            </w:r>
          </w:p>
        </w:tc>
        <w:tc>
          <w:tcPr>
            <w:tcW w:w="1250" w:type="pct"/>
            <w:noWrap w:val="0"/>
            <w:vAlign w:val="top"/>
          </w:tcPr>
          <w:p w14:paraId="7A65D7F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显微镜观察技术、设备使用和维护训练</w:t>
            </w:r>
          </w:p>
        </w:tc>
      </w:tr>
      <w:tr w14:paraId="378B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267A2BFD">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9</w:t>
            </w:r>
          </w:p>
        </w:tc>
        <w:tc>
          <w:tcPr>
            <w:tcW w:w="1303" w:type="pct"/>
            <w:noWrap w:val="0"/>
            <w:vAlign w:val="top"/>
          </w:tcPr>
          <w:p w14:paraId="780D7987">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动物营养与饲料实训室</w:t>
            </w:r>
          </w:p>
        </w:tc>
        <w:tc>
          <w:tcPr>
            <w:tcW w:w="2056" w:type="pct"/>
            <w:noWrap w:val="0"/>
            <w:vAlign w:val="top"/>
          </w:tcPr>
          <w:p w14:paraId="70C1E3B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饲料的营养成分检测设备、饲料原料检测设备</w:t>
            </w:r>
          </w:p>
        </w:tc>
        <w:tc>
          <w:tcPr>
            <w:tcW w:w="1250" w:type="pct"/>
            <w:noWrap w:val="0"/>
            <w:vAlign w:val="top"/>
          </w:tcPr>
          <w:p w14:paraId="0A0591CE">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动物饲料的成分指标检测技术</w:t>
            </w:r>
          </w:p>
        </w:tc>
      </w:tr>
      <w:tr w14:paraId="6B38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543040DA">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10</w:t>
            </w:r>
          </w:p>
        </w:tc>
        <w:tc>
          <w:tcPr>
            <w:tcW w:w="1303" w:type="pct"/>
            <w:noWrap w:val="0"/>
            <w:vAlign w:val="top"/>
          </w:tcPr>
          <w:p w14:paraId="668AD14E">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动物繁育实训室</w:t>
            </w:r>
          </w:p>
        </w:tc>
        <w:tc>
          <w:tcPr>
            <w:tcW w:w="2056" w:type="pct"/>
            <w:noWrap w:val="0"/>
            <w:vAlign w:val="top"/>
          </w:tcPr>
          <w:p w14:paraId="4E1F0F82">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动物繁育及检测设备</w:t>
            </w:r>
          </w:p>
        </w:tc>
        <w:tc>
          <w:tcPr>
            <w:tcW w:w="1250" w:type="pct"/>
            <w:noWrap w:val="0"/>
            <w:vAlign w:val="top"/>
          </w:tcPr>
          <w:p w14:paraId="1A122338">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繁殖育种及繁殖疾病检测技术</w:t>
            </w:r>
          </w:p>
        </w:tc>
      </w:tr>
      <w:tr w14:paraId="2C8E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2FAA2E5F">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11</w:t>
            </w:r>
          </w:p>
        </w:tc>
        <w:tc>
          <w:tcPr>
            <w:tcW w:w="1303" w:type="pct"/>
            <w:noWrap w:val="0"/>
            <w:vAlign w:val="top"/>
          </w:tcPr>
          <w:p w14:paraId="0655D5DE">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动物临床诊断实训室</w:t>
            </w:r>
          </w:p>
        </w:tc>
        <w:tc>
          <w:tcPr>
            <w:tcW w:w="2056" w:type="pct"/>
            <w:noWrap w:val="0"/>
            <w:vAlign w:val="top"/>
          </w:tcPr>
          <w:p w14:paraId="5D767F7C">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动物的一般疾病检验检测设备</w:t>
            </w:r>
          </w:p>
        </w:tc>
        <w:tc>
          <w:tcPr>
            <w:tcW w:w="1250" w:type="pct"/>
            <w:noWrap w:val="0"/>
            <w:vAlign w:val="top"/>
          </w:tcPr>
          <w:p w14:paraId="02F2739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血液、尿液、超声等技术检测和设备使用</w:t>
            </w:r>
          </w:p>
        </w:tc>
      </w:tr>
      <w:tr w14:paraId="37F5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1C71B8FC">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12</w:t>
            </w:r>
          </w:p>
        </w:tc>
        <w:tc>
          <w:tcPr>
            <w:tcW w:w="1303" w:type="pct"/>
            <w:noWrap w:val="0"/>
            <w:vAlign w:val="top"/>
          </w:tcPr>
          <w:p w14:paraId="72E4265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动物虚拟解剖实训室</w:t>
            </w:r>
          </w:p>
        </w:tc>
        <w:tc>
          <w:tcPr>
            <w:tcW w:w="2056" w:type="pct"/>
            <w:noWrap w:val="0"/>
            <w:vAlign w:val="top"/>
          </w:tcPr>
          <w:p w14:paraId="4728FA46">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动物解剖结构虚拟仿真成像系统设备</w:t>
            </w:r>
          </w:p>
        </w:tc>
        <w:tc>
          <w:tcPr>
            <w:tcW w:w="1250" w:type="pct"/>
            <w:noWrap w:val="0"/>
            <w:vAlign w:val="top"/>
          </w:tcPr>
          <w:p w14:paraId="6602B990">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虚拟仿真软件成像进行动物组织器官的识别</w:t>
            </w:r>
          </w:p>
        </w:tc>
      </w:tr>
      <w:tr w14:paraId="4289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389" w:type="pct"/>
            <w:noWrap w:val="0"/>
            <w:vAlign w:val="top"/>
          </w:tcPr>
          <w:p w14:paraId="0E4A7632">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13</w:t>
            </w:r>
          </w:p>
        </w:tc>
        <w:tc>
          <w:tcPr>
            <w:tcW w:w="1303" w:type="pct"/>
            <w:noWrap w:val="0"/>
            <w:vAlign w:val="top"/>
          </w:tcPr>
          <w:p w14:paraId="2095047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禽类孵化室、出雏室</w:t>
            </w:r>
          </w:p>
        </w:tc>
        <w:tc>
          <w:tcPr>
            <w:tcW w:w="2056" w:type="pct"/>
            <w:noWrap w:val="0"/>
            <w:vAlign w:val="top"/>
          </w:tcPr>
          <w:p w14:paraId="44AC3E5F">
            <w:pPr>
              <w:pStyle w:val="9"/>
              <w:widowControl/>
              <w:tabs>
                <w:tab w:val="left" w:pos="680"/>
              </w:tabs>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禽类的孵化及出雏设备</w:t>
            </w:r>
          </w:p>
        </w:tc>
        <w:tc>
          <w:tcPr>
            <w:tcW w:w="1250" w:type="pct"/>
            <w:noWrap w:val="0"/>
            <w:vAlign w:val="top"/>
          </w:tcPr>
          <w:p w14:paraId="5B864F23">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禽类的孵化和出雏技术的训练</w:t>
            </w:r>
          </w:p>
        </w:tc>
      </w:tr>
      <w:tr w14:paraId="35EA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89" w:type="pct"/>
            <w:noWrap w:val="0"/>
            <w:vAlign w:val="top"/>
          </w:tcPr>
          <w:p w14:paraId="60BDC51F">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14</w:t>
            </w:r>
          </w:p>
        </w:tc>
        <w:tc>
          <w:tcPr>
            <w:tcW w:w="1303" w:type="pct"/>
            <w:noWrap w:val="0"/>
            <w:vAlign w:val="top"/>
          </w:tcPr>
          <w:p w14:paraId="24F9057F">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动物标本室</w:t>
            </w:r>
          </w:p>
        </w:tc>
        <w:tc>
          <w:tcPr>
            <w:tcW w:w="2056" w:type="pct"/>
            <w:noWrap w:val="0"/>
            <w:vAlign w:val="top"/>
          </w:tcPr>
          <w:p w14:paraId="633FF452">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动物组织和解剖结构标本</w:t>
            </w:r>
          </w:p>
        </w:tc>
        <w:tc>
          <w:tcPr>
            <w:tcW w:w="1250" w:type="pct"/>
            <w:noWrap w:val="0"/>
            <w:vAlign w:val="top"/>
          </w:tcPr>
          <w:p w14:paraId="6E15C894">
            <w:pPr>
              <w:pStyle w:val="9"/>
              <w:widowControl/>
              <w:spacing w:line="240" w:lineRule="auto"/>
              <w:ind w:firstLine="0" w:firstLineChars="0"/>
              <w:jc w:val="both"/>
              <w:rPr>
                <w:rFonts w:ascii="宋体" w:hAnsi="宋体" w:cs="宋体"/>
                <w:iCs/>
                <w:kern w:val="0"/>
                <w:sz w:val="21"/>
                <w:szCs w:val="21"/>
              </w:rPr>
            </w:pPr>
            <w:r>
              <w:rPr>
                <w:rFonts w:hint="eastAsia" w:ascii="宋体" w:hAnsi="宋体" w:cs="宋体"/>
                <w:iCs/>
                <w:kern w:val="0"/>
                <w:sz w:val="21"/>
                <w:szCs w:val="21"/>
              </w:rPr>
              <w:t>组织器官解剖识别能力</w:t>
            </w:r>
          </w:p>
        </w:tc>
      </w:tr>
    </w:tbl>
    <w:p w14:paraId="7CBA6B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E973D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包括实训指导手册（结合本课程实训项目编写，明确操作流程、安全规范、考核要点）、先修课程知识点汇编（《动物生物化学》《动物营养与饲料》《动物遗传繁育》等核心知识点梳理）、实训报告模板（规范数据记录、成果分析、问题总结等内容）。</w:t>
      </w:r>
    </w:p>
    <w:p w14:paraId="794E4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搭建线上教学资源库，依托学习通等平台上传实训项目的操作示范视频、难点解析课件、安全操作动画、行业案例视频等资源；配备虚拟仿真实训软件，模拟鸡人工授精、饲料检测等实操场景，供学生课前预习、课后反复演练。</w:t>
      </w:r>
    </w:p>
    <w:p w14:paraId="686D15D7">
      <w:pPr>
        <w:rPr>
          <w:rFonts w:hint="eastAsia" w:ascii="宋体" w:hAnsi="宋体" w:eastAsia="宋体" w:cs="宋体"/>
          <w:sz w:val="24"/>
          <w:szCs w:val="24"/>
          <w:lang w:val="en-US" w:eastAsia="zh-CN"/>
        </w:rPr>
      </w:pPr>
    </w:p>
    <w:p w14:paraId="4282FEF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E40F48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8A8A30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D87BE3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300017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93A90E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6CA4CB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85CBE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3C9251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4F363C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0A94C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722A47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FD2343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8D273F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B015B5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B71655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7BED73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55677FC">
      <w:pPr>
        <w:rPr>
          <w:rFonts w:hint="eastAsia"/>
          <w:lang w:val="en-US" w:eastAsia="zh-CN"/>
        </w:rPr>
      </w:pPr>
      <w:bookmarkStart w:id="60" w:name="_Toc27979"/>
      <w:r>
        <w:rPr>
          <w:rFonts w:hint="eastAsia"/>
          <w:lang w:val="en-US" w:eastAsia="zh-CN"/>
        </w:rPr>
        <w:br w:type="page"/>
      </w:r>
    </w:p>
    <w:p w14:paraId="54C69974">
      <w:pPr>
        <w:pStyle w:val="2"/>
        <w:bidi w:val="0"/>
        <w:rPr>
          <w:rFonts w:hint="eastAsia"/>
          <w:lang w:val="en-US" w:eastAsia="zh-CN"/>
        </w:rPr>
      </w:pPr>
      <w:bookmarkStart w:id="61" w:name="_Toc18335"/>
      <w:r>
        <w:rPr>
          <w:rFonts w:hint="eastAsia"/>
          <w:lang w:val="en-US" w:eastAsia="zh-CN"/>
        </w:rPr>
        <w:t>《养禽与禽病防治》实训课程标准</w:t>
      </w:r>
      <w:bookmarkEnd w:id="60"/>
      <w:bookmarkEnd w:id="61"/>
    </w:p>
    <w:p w14:paraId="0F60F23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1"/>
        <w:gridCol w:w="1052"/>
        <w:gridCol w:w="3303"/>
      </w:tblGrid>
      <w:tr w14:paraId="7522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FC9D47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8" w:type="pct"/>
            <w:gridSpan w:val="3"/>
            <w:tcBorders>
              <w:top w:val="single" w:color="auto" w:sz="4" w:space="0"/>
              <w:left w:val="single" w:color="auto" w:sz="4" w:space="0"/>
              <w:bottom w:val="single" w:color="auto" w:sz="4" w:space="0"/>
              <w:right w:val="single" w:color="auto" w:sz="4" w:space="0"/>
            </w:tcBorders>
            <w:vAlign w:val="center"/>
          </w:tcPr>
          <w:p w14:paraId="544EA85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养禽与禽病防治实训</w:t>
            </w:r>
          </w:p>
        </w:tc>
        <w:tc>
          <w:tcPr>
            <w:tcW w:w="534" w:type="pct"/>
            <w:tcBorders>
              <w:top w:val="single" w:color="auto" w:sz="4" w:space="0"/>
              <w:left w:val="single" w:color="auto" w:sz="4" w:space="0"/>
              <w:bottom w:val="single" w:color="auto" w:sz="4" w:space="0"/>
              <w:right w:val="single" w:color="auto" w:sz="4" w:space="0"/>
            </w:tcBorders>
            <w:vAlign w:val="center"/>
          </w:tcPr>
          <w:p w14:paraId="086B4E6E">
            <w:pPr>
              <w:pStyle w:val="16"/>
              <w:spacing w:before="0" w:beforeAutospacing="0" w:after="0" w:afterAutospacing="0"/>
              <w:ind w:right="-117" w:rightChars="0"/>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8CB4860">
            <w:pPr>
              <w:pStyle w:val="16"/>
              <w:spacing w:before="0" w:beforeAutospacing="0" w:after="0" w:afterAutospacing="0"/>
              <w:ind w:right="-145" w:rightChars="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xcxm24033</w:t>
            </w:r>
          </w:p>
        </w:tc>
      </w:tr>
      <w:tr w14:paraId="1278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467AD6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vAlign w:val="top"/>
          </w:tcPr>
          <w:p w14:paraId="5B448A8C">
            <w:pPr>
              <w:jc w:val="center"/>
              <w:rPr>
                <w:rFonts w:hint="default" w:eastAsiaTheme="minorEastAsia"/>
                <w:sz w:val="21"/>
                <w:szCs w:val="21"/>
                <w:lang w:val="en-US" w:eastAsia="zh-CN"/>
              </w:rPr>
            </w:pPr>
            <w:r>
              <w:rPr>
                <w:rFonts w:hint="eastAsia"/>
                <w:sz w:val="21"/>
                <w:szCs w:val="21"/>
                <w:lang w:val="en-US" w:eastAsia="zh-CN"/>
              </w:rPr>
              <w:t>26学时</w:t>
            </w:r>
          </w:p>
        </w:tc>
        <w:tc>
          <w:tcPr>
            <w:tcW w:w="874" w:type="pct"/>
            <w:tcBorders>
              <w:top w:val="single" w:color="auto" w:sz="4" w:space="0"/>
              <w:left w:val="single" w:color="auto" w:sz="4" w:space="0"/>
              <w:bottom w:val="single" w:color="auto" w:sz="4" w:space="0"/>
              <w:right w:val="single" w:color="auto" w:sz="4" w:space="0"/>
            </w:tcBorders>
            <w:vAlign w:val="top"/>
          </w:tcPr>
          <w:p w14:paraId="6F8DD787">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vAlign w:val="top"/>
          </w:tcPr>
          <w:p w14:paraId="441D6B73">
            <w:pPr>
              <w:jc w:val="center"/>
              <w:rPr>
                <w:rFonts w:hint="eastAsia"/>
                <w:sz w:val="21"/>
                <w:szCs w:val="21"/>
                <w:lang w:val="en-US" w:eastAsia="zh-CN"/>
              </w:rPr>
            </w:pPr>
            <w:r>
              <w:rPr>
                <w:rFonts w:hint="eastAsia"/>
                <w:sz w:val="21"/>
                <w:szCs w:val="21"/>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011FF2A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1C2A2C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28D4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D873B57">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top"/>
          </w:tcPr>
          <w:p w14:paraId="17F3DB04">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w:t>
            </w:r>
          </w:p>
        </w:tc>
      </w:tr>
      <w:tr w14:paraId="6955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B1C23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8" w:type="pct"/>
            <w:gridSpan w:val="3"/>
            <w:tcBorders>
              <w:top w:val="single" w:color="auto" w:sz="4" w:space="0"/>
              <w:left w:val="single" w:color="auto" w:sz="4" w:space="0"/>
              <w:right w:val="single" w:color="auto" w:sz="4" w:space="0"/>
            </w:tcBorders>
            <w:vAlign w:val="top"/>
          </w:tcPr>
          <w:p w14:paraId="26D4E02F">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shd w:val="clear" w:color="FFFFFF" w:fill="D9D9D9"/>
                <w:lang w:eastAsia="zh-CN"/>
              </w:rPr>
              <w:t>☑</w:t>
            </w:r>
            <w:r>
              <w:rPr>
                <w:rFonts w:hint="eastAsia"/>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4ACF85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C6C61A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1789DEB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Theme="minorHAnsi" w:hAnsiTheme="minorHAnsi" w:eastAsiaTheme="minorEastAsia" w:cstheme="minorBidi"/>
                <w:kern w:val="2"/>
                <w:sz w:val="21"/>
                <w:szCs w:val="21"/>
                <w:shd w:val="clear" w:color="FFFFFF" w:fill="D9D9D9"/>
                <w:lang w:val="en-US" w:eastAsia="zh-CN" w:bidi="ar-SA"/>
              </w:rPr>
              <w:t>☑</w:t>
            </w:r>
            <w:r>
              <w:rPr>
                <w:rFonts w:hint="eastAsia" w:ascii="宋体" w:hAnsi="宋体" w:eastAsia="宋体"/>
                <w:bCs/>
                <w:color w:val="auto"/>
                <w:sz w:val="21"/>
                <w:szCs w:val="21"/>
                <w:lang w:val="en-US" w:eastAsia="zh-CN"/>
              </w:rPr>
              <w:t>集中性实践环节</w:t>
            </w:r>
          </w:p>
        </w:tc>
      </w:tr>
      <w:tr w14:paraId="7839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AED2B7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7FCA746B">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color w:val="auto"/>
                <w:sz w:val="21"/>
                <w:szCs w:val="21"/>
                <w:lang w:eastAsia="zh-CN"/>
              </w:rPr>
              <w:t>动物解剖生理</w:t>
            </w:r>
            <w:r>
              <w:rPr>
                <w:rFonts w:hint="eastAsia" w:ascii="Arial" w:hAnsi="Arial" w:eastAsia="宋体" w:cs="Arial"/>
                <w:color w:val="auto"/>
                <w:sz w:val="21"/>
                <w:szCs w:val="21"/>
                <w:lang w:val="en-US" w:eastAsia="zh-CN"/>
              </w:rPr>
              <w:t xml:space="preserve">  动物病理  动物遗传学 动物营养与饲料</w:t>
            </w:r>
          </w:p>
        </w:tc>
      </w:tr>
      <w:tr w14:paraId="1CBC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0DE20E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498BE1C">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color w:val="auto"/>
                <w:sz w:val="21"/>
                <w:szCs w:val="21"/>
              </w:rPr>
              <w:t>畜牧场经营与管理</w:t>
            </w:r>
            <w:r>
              <w:rPr>
                <w:rFonts w:hint="eastAsia" w:ascii="Arial" w:hAnsi="Arial" w:eastAsia="宋体" w:cs="Arial"/>
                <w:color w:val="auto"/>
                <w:sz w:val="21"/>
                <w:szCs w:val="21"/>
                <w:lang w:val="en-US" w:eastAsia="zh-CN"/>
              </w:rPr>
              <w:t xml:space="preserve">  动物防疫与检疫</w:t>
            </w:r>
          </w:p>
        </w:tc>
      </w:tr>
      <w:tr w14:paraId="1A9E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EC90FE5">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3FC0EBB">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养禽与禽病防治</w:t>
            </w:r>
            <w:r>
              <w:rPr>
                <w:rFonts w:ascii="Arial" w:hAnsi="Arial" w:eastAsia="宋体" w:cs="Arial"/>
                <w:sz w:val="21"/>
                <w:szCs w:val="21"/>
              </w:rPr>
              <w:t>》（</w:t>
            </w:r>
            <w:r>
              <w:rPr>
                <w:rFonts w:hint="eastAsia" w:ascii="Arial" w:hAnsi="Arial" w:eastAsia="宋体" w:cs="Arial"/>
                <w:sz w:val="21"/>
                <w:szCs w:val="21"/>
                <w:lang w:val="en-US" w:eastAsia="zh-CN"/>
              </w:rPr>
              <w:t>刘振湘、孟可爱</w:t>
            </w:r>
            <w:r>
              <w:rPr>
                <w:rFonts w:hint="eastAsia" w:ascii="Arial" w:hAnsi="Arial" w:eastAsia="宋体" w:cs="Arial"/>
                <w:sz w:val="21"/>
                <w:szCs w:val="21"/>
              </w:rPr>
              <w:t>，</w:t>
            </w:r>
            <w:r>
              <w:rPr>
                <w:rFonts w:hint="eastAsia" w:ascii="Arial" w:hAnsi="Arial" w:eastAsia="宋体" w:cs="Arial"/>
                <w:sz w:val="21"/>
                <w:szCs w:val="21"/>
                <w:lang w:eastAsia="zh-CN"/>
              </w:rPr>
              <w:t>中国农业大学</w:t>
            </w:r>
            <w:r>
              <w:rPr>
                <w:rFonts w:hint="eastAsia" w:ascii="Arial" w:hAnsi="Arial" w:eastAsia="宋体" w:cs="Arial"/>
                <w:sz w:val="21"/>
                <w:szCs w:val="21"/>
                <w:lang w:val="en-US" w:eastAsia="zh-CN"/>
              </w:rPr>
              <w:t>出版社，2023，ISBN 9787565530203</w:t>
            </w:r>
            <w:r>
              <w:rPr>
                <w:rFonts w:ascii="Arial" w:hAnsi="Arial" w:eastAsia="宋体" w:cs="Arial"/>
                <w:sz w:val="21"/>
                <w:szCs w:val="21"/>
              </w:rPr>
              <w:t>)</w:t>
            </w:r>
          </w:p>
        </w:tc>
      </w:tr>
      <w:tr w14:paraId="316E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A904A9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0FB83F29">
            <w:pPr>
              <w:widowControl/>
              <w:jc w:val="left"/>
              <w:rPr>
                <w:rFonts w:hint="eastAsia" w:eastAsiaTheme="minorEastAsia"/>
                <w:sz w:val="21"/>
                <w:szCs w:val="21"/>
                <w:lang w:eastAsia="zh-CN"/>
              </w:rPr>
            </w:pPr>
            <w:r>
              <w:rPr>
                <w:rFonts w:hint="eastAsia"/>
                <w:sz w:val="21"/>
                <w:szCs w:val="21"/>
                <w:lang w:val="en-US" w:eastAsia="zh-CN"/>
              </w:rPr>
              <w:t>夏玉静</w:t>
            </w:r>
          </w:p>
        </w:tc>
        <w:tc>
          <w:tcPr>
            <w:tcW w:w="534" w:type="pct"/>
            <w:tcBorders>
              <w:top w:val="single" w:color="auto" w:sz="4" w:space="0"/>
              <w:left w:val="single" w:color="auto" w:sz="4" w:space="0"/>
              <w:bottom w:val="single" w:color="auto" w:sz="4" w:space="0"/>
              <w:right w:val="single" w:color="auto" w:sz="4" w:space="0"/>
            </w:tcBorders>
            <w:vAlign w:val="center"/>
          </w:tcPr>
          <w:p w14:paraId="43C229C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243B99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4AB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C94D1C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8" w:type="pct"/>
            <w:gridSpan w:val="3"/>
            <w:tcBorders>
              <w:top w:val="single" w:color="auto" w:sz="4" w:space="0"/>
              <w:left w:val="single" w:color="auto" w:sz="4" w:space="0"/>
              <w:right w:val="single" w:color="auto" w:sz="4" w:space="0"/>
            </w:tcBorders>
            <w:vAlign w:val="top"/>
          </w:tcPr>
          <w:p w14:paraId="1ECA740A">
            <w:pPr>
              <w:widowControl/>
              <w:jc w:val="left"/>
              <w:rPr>
                <w:rFonts w:hint="eastAsia"/>
                <w:sz w:val="21"/>
                <w:szCs w:val="21"/>
              </w:rPr>
            </w:pPr>
            <w:r>
              <w:rPr>
                <w:rFonts w:hint="eastAsia"/>
                <w:sz w:val="21"/>
                <w:szCs w:val="21"/>
                <w:lang w:val="en-US" w:eastAsia="zh-CN"/>
              </w:rPr>
              <w:t>谭聪</w:t>
            </w:r>
          </w:p>
        </w:tc>
        <w:tc>
          <w:tcPr>
            <w:tcW w:w="534" w:type="pct"/>
            <w:tcBorders>
              <w:top w:val="single" w:color="auto" w:sz="4" w:space="0"/>
              <w:left w:val="single" w:color="auto" w:sz="4" w:space="0"/>
              <w:bottom w:val="single" w:color="auto" w:sz="4" w:space="0"/>
              <w:right w:val="single" w:color="auto" w:sz="4" w:space="0"/>
            </w:tcBorders>
            <w:vAlign w:val="center"/>
          </w:tcPr>
          <w:p w14:paraId="07F2BA8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53646EE">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7E8F9474">
      <w:pPr>
        <w:pStyle w:val="3"/>
        <w:bidi w:val="0"/>
        <w:rPr>
          <w:rFonts w:hint="eastAsia"/>
          <w:lang w:val="en-US" w:eastAsia="zh-CN"/>
        </w:rPr>
      </w:pPr>
      <w:r>
        <w:rPr>
          <w:rFonts w:hint="eastAsia"/>
          <w:lang w:val="en-US" w:eastAsia="zh-CN"/>
        </w:rPr>
        <w:t>二、课程定位</w:t>
      </w:r>
    </w:p>
    <w:p w14:paraId="2C5A58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《动物遗传学》、《动物营养与饲料》课程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兽医临床及疾病防控等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科学严谨，爱岗敬业的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根据病因把握疾病发生发展规律的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《畜牧场经营与管理》、《动物防疫与检疫》</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0E7B1D1">
      <w:pPr>
        <w:pStyle w:val="3"/>
        <w:bidi w:val="0"/>
        <w:rPr>
          <w:rFonts w:hint="eastAsia"/>
          <w:lang w:val="en-US" w:eastAsia="zh-CN"/>
        </w:rPr>
      </w:pPr>
      <w:r>
        <w:rPr>
          <w:rFonts w:hint="eastAsia"/>
          <w:lang w:val="en-US" w:eastAsia="zh-CN"/>
        </w:rPr>
        <w:t>三、课程设计思路</w:t>
      </w:r>
    </w:p>
    <w:p w14:paraId="5B3337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标准以就业为导向，通过社会调研，邀请行业专家对畜牧兽医专业所涵盖的岗位进行工作任务和职业能力分析，并以工作任务为引领确定本课程的结构，以职业能力为基础确定本课程的内容，根据学生身心发展的特点和职业教育规律等方面的培养要求</w:t>
      </w:r>
      <w:r>
        <w:rPr>
          <w:rFonts w:hint="eastAsia" w:asciiTheme="minorEastAsia" w:hAnsiTheme="minorEastAsia" w:cstheme="minorEastAsia"/>
          <w:sz w:val="24"/>
          <w:szCs w:val="24"/>
          <w:lang w:val="en-US" w:eastAsia="zh-CN"/>
        </w:rPr>
        <w:t>，锻炼</w:t>
      </w:r>
      <w:r>
        <w:rPr>
          <w:rFonts w:hint="eastAsia" w:asciiTheme="minorEastAsia" w:hAnsiTheme="minorEastAsia" w:eastAsiaTheme="minorEastAsia" w:cstheme="minorEastAsia"/>
          <w:sz w:val="24"/>
          <w:szCs w:val="24"/>
          <w:lang w:val="en-US" w:eastAsia="zh-CN"/>
        </w:rPr>
        <w:t>和提升学生的专业能力、方法能力、社会能力、强化职业素质教育。关于教学形式，理论部分主要通过多媒体、板书、教具等课堂授课，实践部分主要通过</w:t>
      </w:r>
      <w:r>
        <w:rPr>
          <w:rFonts w:hint="eastAsia" w:asciiTheme="minorEastAsia" w:hAnsiTheme="minorEastAsia" w:cstheme="minorEastAsia"/>
          <w:sz w:val="24"/>
          <w:szCs w:val="24"/>
          <w:lang w:val="en-US" w:eastAsia="zh-CN"/>
        </w:rPr>
        <w:t>虚拟仿真软件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受精卵孵化过程管理和观察</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2712AC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技术创新</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科学严谨</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87DD3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战略和区域发展需要，精准对接产业岗位新需求，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w:t>
      </w:r>
      <w:r>
        <w:rPr>
          <w:rFonts w:hint="eastAsia" w:asciiTheme="minorEastAsia" w:hAnsiTheme="minorEastAsia" w:cstheme="minorEastAsia"/>
          <w:sz w:val="24"/>
          <w:szCs w:val="24"/>
          <w:lang w:val="en-US" w:eastAsia="zh-CN"/>
        </w:rPr>
        <w:t>教学</w:t>
      </w:r>
      <w:r>
        <w:rPr>
          <w:rFonts w:hint="eastAsia" w:asciiTheme="minorEastAsia" w:hAnsiTheme="minorEastAsia" w:eastAsiaTheme="minorEastAsia" w:cstheme="minorEastAsia"/>
          <w:sz w:val="24"/>
          <w:szCs w:val="24"/>
          <w:lang w:val="en-US" w:eastAsia="zh-CN"/>
        </w:rPr>
        <w:t>模式。</w:t>
      </w:r>
    </w:p>
    <w:p w14:paraId="6C588D3E">
      <w:pPr>
        <w:pStyle w:val="3"/>
        <w:bidi w:val="0"/>
        <w:rPr>
          <w:rFonts w:hint="eastAsia"/>
          <w:lang w:val="en-US" w:eastAsia="zh-CN"/>
        </w:rPr>
      </w:pPr>
      <w:r>
        <w:rPr>
          <w:rFonts w:hint="eastAsia"/>
          <w:lang w:val="en-US" w:eastAsia="zh-CN"/>
        </w:rPr>
        <w:t>四、课程目标</w:t>
      </w:r>
    </w:p>
    <w:p w14:paraId="05A985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28EBE0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1.</w:t>
      </w:r>
      <w:r>
        <w:rPr>
          <w:rFonts w:hint="eastAsia" w:asciiTheme="minorEastAsia" w:hAnsiTheme="minorEastAsia" w:eastAsiaTheme="minorEastAsia" w:cstheme="minorEastAsia"/>
          <w:sz w:val="24"/>
          <w:szCs w:val="24"/>
          <w:lang w:val="en-US" w:eastAsia="zh-CN"/>
        </w:rPr>
        <w:t>了解鸡鸭鹅常见的品种及生产性能。</w:t>
      </w:r>
    </w:p>
    <w:p w14:paraId="3033B4B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2.</w:t>
      </w:r>
      <w:r>
        <w:rPr>
          <w:rFonts w:hint="eastAsia" w:asciiTheme="minorEastAsia" w:hAnsiTheme="minorEastAsia" w:eastAsiaTheme="minorEastAsia" w:cstheme="minorEastAsia"/>
          <w:sz w:val="24"/>
          <w:szCs w:val="24"/>
          <w:lang w:val="en-US" w:eastAsia="zh-CN"/>
        </w:rPr>
        <w:t>熟识鸡鸭鹅各生产阶段的饲养管理要点。</w:t>
      </w:r>
    </w:p>
    <w:p w14:paraId="622D86A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3.</w:t>
      </w:r>
      <w:r>
        <w:rPr>
          <w:rFonts w:hint="eastAsia" w:asciiTheme="minorEastAsia" w:hAnsiTheme="minorEastAsia" w:eastAsiaTheme="minorEastAsia" w:cstheme="minorEastAsia"/>
          <w:sz w:val="24"/>
          <w:szCs w:val="24"/>
          <w:lang w:val="en-US" w:eastAsia="zh-CN"/>
        </w:rPr>
        <w:t>熟识禽类孵化过程各阶段形态特点及孵化要求。</w:t>
      </w:r>
    </w:p>
    <w:p w14:paraId="0C779D5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4.</w:t>
      </w:r>
      <w:r>
        <w:rPr>
          <w:rFonts w:hint="eastAsia" w:asciiTheme="minorEastAsia" w:hAnsiTheme="minorEastAsia" w:eastAsiaTheme="minorEastAsia" w:cstheme="minorEastAsia"/>
          <w:sz w:val="24"/>
          <w:szCs w:val="24"/>
          <w:lang w:val="en-US" w:eastAsia="zh-CN"/>
        </w:rPr>
        <w:t>了解禽类的育种方法及人工授精技术。</w:t>
      </w:r>
    </w:p>
    <w:p w14:paraId="1C4F9404">
      <w:pPr>
        <w:keepNext w:val="0"/>
        <w:keepLines w:val="0"/>
        <w:pageBreakBefore w:val="0"/>
        <w:widowControl w:val="0"/>
        <w:numPr>
          <w:ilvl w:val="0"/>
          <w:numId w:val="3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能力目标</w:t>
      </w:r>
    </w:p>
    <w:p w14:paraId="0D5155A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1.能熟练操作孵化机并进行孵化操作管理。</w:t>
      </w:r>
    </w:p>
    <w:p w14:paraId="6574776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2.能从事蛋鸡场、肉鸡场、孵化场及其它禽类的生产技术管理工作。</w:t>
      </w:r>
    </w:p>
    <w:p w14:paraId="14DCFAE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3.在有商品预混料的基础上，能设计养禽各阶段的配合饲料。</w:t>
      </w:r>
    </w:p>
    <w:p w14:paraId="16839A3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4.能正确使用养禽场常用的设备。</w:t>
      </w:r>
    </w:p>
    <w:p w14:paraId="14DF42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6CC40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良好的思想品德、心理素质；</w:t>
      </w:r>
    </w:p>
    <w:p w14:paraId="7C283F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良好的职业道德，包括爱岗敬业、诚实守信、遵守相关的法律法规等；</w:t>
      </w:r>
    </w:p>
    <w:p w14:paraId="7B8FB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良好的团队协作、协调人际关系的能力;</w:t>
      </w:r>
    </w:p>
    <w:p w14:paraId="48F091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对新知识、新技能的学习能力与创新能力。</w:t>
      </w:r>
    </w:p>
    <w:p w14:paraId="677EFF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06A7D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322CD3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514599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363A65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w:t>
      </w:r>
      <w:r>
        <w:rPr>
          <w:rFonts w:hint="eastAsia" w:asciiTheme="minorEastAsia" w:hAnsiTheme="minorEastAsia" w:cstheme="minorEastAsia"/>
          <w:sz w:val="24"/>
          <w:szCs w:val="24"/>
          <w:lang w:eastAsia="zh-CN"/>
        </w:rPr>
        <w:t>敬畏生命</w:t>
      </w:r>
      <w:r>
        <w:rPr>
          <w:rFonts w:hint="eastAsia" w:asciiTheme="minorEastAsia" w:hAnsiTheme="minorEastAsia" w:eastAsiaTheme="minorEastAsia" w:cstheme="minorEastAsia"/>
          <w:sz w:val="24"/>
          <w:szCs w:val="24"/>
        </w:rPr>
        <w:t>、服务社会”的责任担当，理解所学专业在国家发展、行业进步中的作用，树立为行业发展和社会建设贡献力量的信念；​</w:t>
      </w:r>
    </w:p>
    <w:p w14:paraId="17364E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2E6E6E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47C6A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7703A62D">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498"/>
        <w:gridCol w:w="2562"/>
        <w:gridCol w:w="2152"/>
        <w:gridCol w:w="1411"/>
        <w:gridCol w:w="792"/>
      </w:tblGrid>
      <w:tr w14:paraId="4355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28" w:type="pct"/>
            <w:vAlign w:val="center"/>
          </w:tcPr>
          <w:p w14:paraId="3B7049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760" w:type="pct"/>
            <w:vAlign w:val="center"/>
          </w:tcPr>
          <w:p w14:paraId="5FB01C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300" w:type="pct"/>
            <w:vAlign w:val="center"/>
          </w:tcPr>
          <w:p w14:paraId="3219C8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92" w:type="pct"/>
            <w:vAlign w:val="center"/>
          </w:tcPr>
          <w:p w14:paraId="0022C6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716" w:type="pct"/>
            <w:vAlign w:val="center"/>
          </w:tcPr>
          <w:p w14:paraId="2ACB7E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402" w:type="pct"/>
            <w:vAlign w:val="center"/>
          </w:tcPr>
          <w:p w14:paraId="692FB2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11D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28" w:type="pct"/>
            <w:vAlign w:val="center"/>
          </w:tcPr>
          <w:p w14:paraId="5124B5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5849D4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家禽繁育</w:t>
            </w:r>
          </w:p>
        </w:tc>
        <w:tc>
          <w:tcPr>
            <w:tcW w:w="760" w:type="pct"/>
            <w:vAlign w:val="center"/>
          </w:tcPr>
          <w:p w14:paraId="3F0A77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0D3244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家禽繁殖方法</w:t>
            </w:r>
          </w:p>
        </w:tc>
        <w:tc>
          <w:tcPr>
            <w:tcW w:w="1300" w:type="pct"/>
            <w:vAlign w:val="center"/>
          </w:tcPr>
          <w:p w14:paraId="52F229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 种公鸡的调教及采精技术</w:t>
            </w:r>
          </w:p>
          <w:p w14:paraId="5F8237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 精液检查与稀释</w:t>
            </w:r>
          </w:p>
          <w:p w14:paraId="2F850D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 鸡的人工授精</w:t>
            </w:r>
          </w:p>
        </w:tc>
        <w:tc>
          <w:tcPr>
            <w:tcW w:w="1092" w:type="pct"/>
            <w:vAlign w:val="center"/>
          </w:tcPr>
          <w:p w14:paraId="483231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 种公鸡的调教及采精技术</w:t>
            </w:r>
          </w:p>
          <w:p w14:paraId="21F83D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 精液检查与稀释</w:t>
            </w:r>
          </w:p>
          <w:p w14:paraId="269505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 鸡的人工授精</w:t>
            </w:r>
          </w:p>
        </w:tc>
        <w:tc>
          <w:tcPr>
            <w:tcW w:w="716" w:type="pct"/>
            <w:vAlign w:val="center"/>
          </w:tcPr>
          <w:p w14:paraId="3FC753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251712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441866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747D19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402" w:type="pct"/>
            <w:vAlign w:val="center"/>
          </w:tcPr>
          <w:p w14:paraId="1D76BC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p w14:paraId="0D0D31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w:t>
            </w:r>
          </w:p>
        </w:tc>
      </w:tr>
      <w:tr w14:paraId="1148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66AF70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家禽孵化</w:t>
            </w:r>
          </w:p>
        </w:tc>
        <w:tc>
          <w:tcPr>
            <w:tcW w:w="760" w:type="pct"/>
            <w:vAlign w:val="center"/>
          </w:tcPr>
          <w:p w14:paraId="11C457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cstheme="minorEastAsia"/>
                <w:color w:val="000000" w:themeColor="text1"/>
                <w:sz w:val="21"/>
                <w:szCs w:val="21"/>
                <w:lang w:eastAsia="zh-CN"/>
                <w14:textFill>
                  <w14:solidFill>
                    <w14:schemeClr w14:val="tx1"/>
                  </w14:solidFill>
                </w14:textFill>
              </w:rPr>
              <w:t>种蛋</w:t>
            </w:r>
          </w:p>
          <w:p w14:paraId="0B076F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2.胚胎发育</w:t>
            </w:r>
          </w:p>
          <w:p w14:paraId="4488B6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3.初生雏鸡处理</w:t>
            </w:r>
          </w:p>
        </w:tc>
        <w:tc>
          <w:tcPr>
            <w:tcW w:w="1300" w:type="pct"/>
            <w:vAlign w:val="center"/>
          </w:tcPr>
          <w:p w14:paraId="2F6912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 蛋的构造和品质鉴定技术</w:t>
            </w:r>
          </w:p>
          <w:p w14:paraId="2BD6AA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 种蛋的选择和消毒技术</w:t>
            </w:r>
          </w:p>
          <w:p w14:paraId="445927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 家禽胚胎发育观察技术</w:t>
            </w:r>
          </w:p>
          <w:p w14:paraId="400112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 初生雏鸡的处理技术</w:t>
            </w:r>
          </w:p>
          <w:p w14:paraId="3252C0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 孵化效果的检查与分析</w:t>
            </w:r>
          </w:p>
          <w:p w14:paraId="71E169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6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孵化器的构造及使用技术</w:t>
            </w:r>
          </w:p>
          <w:p w14:paraId="3712F2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孵化操作技术</w:t>
            </w:r>
          </w:p>
        </w:tc>
        <w:tc>
          <w:tcPr>
            <w:tcW w:w="1092" w:type="pct"/>
            <w:vAlign w:val="center"/>
          </w:tcPr>
          <w:p w14:paraId="012946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 蛋的构造和品质鉴定技术</w:t>
            </w:r>
          </w:p>
          <w:p w14:paraId="6DAD5E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 种蛋的选择和消毒技术</w:t>
            </w:r>
          </w:p>
          <w:p w14:paraId="3F0CA3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 家禽胚胎发育观察技术</w:t>
            </w:r>
          </w:p>
          <w:p w14:paraId="0849D8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 初生雏鸡的处理技术</w:t>
            </w:r>
          </w:p>
          <w:p w14:paraId="0F6F48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 孵化效果的检查与分析</w:t>
            </w:r>
          </w:p>
          <w:p w14:paraId="657D44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6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孵化器的构造及使用技术</w:t>
            </w:r>
          </w:p>
          <w:p w14:paraId="78A143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孵化操作技术</w:t>
            </w:r>
          </w:p>
        </w:tc>
        <w:tc>
          <w:tcPr>
            <w:tcW w:w="716" w:type="pct"/>
            <w:vAlign w:val="center"/>
          </w:tcPr>
          <w:p w14:paraId="391728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53055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247833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21D642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20B2B4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家国情怀</w:t>
            </w:r>
          </w:p>
          <w:p w14:paraId="0AB6CE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创新意识</w:t>
            </w:r>
          </w:p>
          <w:p w14:paraId="6A65B9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生态文明</w:t>
            </w:r>
          </w:p>
        </w:tc>
        <w:tc>
          <w:tcPr>
            <w:tcW w:w="402" w:type="pct"/>
            <w:vAlign w:val="center"/>
          </w:tcPr>
          <w:p w14:paraId="2C98CCB3">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p w14:paraId="5383EF4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p w14:paraId="02268DD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03EE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728" w:type="pct"/>
            <w:vAlign w:val="center"/>
          </w:tcPr>
          <w:p w14:paraId="3A8696F6">
            <w:pPr>
              <w:snapToGrid w:val="0"/>
              <w:spacing w:line="240" w:lineRule="auto"/>
              <w:jc w:val="center"/>
              <w:rPr>
                <w:rFonts w:hint="eastAsia" w:ascii="宋体" w:hAnsi="宋体" w:eastAsiaTheme="minorEastAsia"/>
                <w:sz w:val="21"/>
                <w:szCs w:val="21"/>
                <w:lang w:val="en-US" w:eastAsia="zh-CN"/>
              </w:rPr>
            </w:pPr>
            <w:r>
              <w:rPr>
                <w:rFonts w:hint="eastAsia" w:ascii="宋体" w:hAnsi="宋体"/>
                <w:sz w:val="21"/>
                <w:szCs w:val="21"/>
                <w:lang w:eastAsia="zh-CN"/>
              </w:rPr>
              <w:t>蛋鸡生产</w:t>
            </w:r>
          </w:p>
        </w:tc>
        <w:tc>
          <w:tcPr>
            <w:tcW w:w="760" w:type="pct"/>
            <w:vAlign w:val="center"/>
          </w:tcPr>
          <w:p w14:paraId="287049F3">
            <w:pPr>
              <w:numPr>
                <w:ilvl w:val="0"/>
                <w:numId w:val="41"/>
              </w:num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雏鸡的饲养管理</w:t>
            </w:r>
          </w:p>
          <w:p w14:paraId="72B84E46">
            <w:pPr>
              <w:numPr>
                <w:ilvl w:val="0"/>
                <w:numId w:val="41"/>
              </w:num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育成鸡的饲养管理</w:t>
            </w:r>
          </w:p>
          <w:p w14:paraId="58F6B5E0">
            <w:pPr>
              <w:numPr>
                <w:ilvl w:val="0"/>
                <w:numId w:val="41"/>
              </w:num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蛋鸡场生产计划的编制</w:t>
            </w:r>
          </w:p>
          <w:p w14:paraId="0A753699">
            <w:pPr>
              <w:numPr>
                <w:ilvl w:val="0"/>
                <w:numId w:val="41"/>
              </w:num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产蛋鸡的饲养管理</w:t>
            </w:r>
          </w:p>
        </w:tc>
        <w:tc>
          <w:tcPr>
            <w:tcW w:w="1300" w:type="pct"/>
            <w:vAlign w:val="center"/>
          </w:tcPr>
          <w:p w14:paraId="3EFE23A4">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1 成年家禽外貌部位识别</w:t>
            </w:r>
          </w:p>
          <w:p w14:paraId="630C2819">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 雏鸡舍温度、湿度调控技术</w:t>
            </w:r>
          </w:p>
          <w:p w14:paraId="08E42768">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 雏鸡断喙技术</w:t>
            </w:r>
          </w:p>
          <w:p w14:paraId="067631F5">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4 鸡群体重均匀度的测定技术</w:t>
            </w:r>
          </w:p>
          <w:p w14:paraId="39B7910A">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5 产蛋曲线的分析应用技术</w:t>
            </w:r>
          </w:p>
          <w:p w14:paraId="5B687D19">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6 家禽产蛋性能鉴定技术</w:t>
            </w:r>
          </w:p>
          <w:p w14:paraId="4F8CAA0C">
            <w:pPr>
              <w:snapToGrid w:val="0"/>
              <w:spacing w:line="240" w:lineRule="auto"/>
              <w:jc w:val="center"/>
              <w:rPr>
                <w:rFonts w:hint="eastAsia" w:ascii="宋体" w:hAnsi="宋体"/>
                <w:sz w:val="21"/>
                <w:szCs w:val="21"/>
                <w:lang w:val="en-US" w:eastAsia="zh-CN"/>
              </w:rPr>
            </w:pPr>
          </w:p>
        </w:tc>
        <w:tc>
          <w:tcPr>
            <w:tcW w:w="1092" w:type="pct"/>
            <w:vAlign w:val="center"/>
          </w:tcPr>
          <w:p w14:paraId="259995DB">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1 成年家禽外貌部位识别</w:t>
            </w:r>
          </w:p>
          <w:p w14:paraId="5C3F8C48">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 雏鸡舍温度、湿度调控技术</w:t>
            </w:r>
          </w:p>
          <w:p w14:paraId="10A17C86">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 雏鸡断喙技术</w:t>
            </w:r>
          </w:p>
          <w:p w14:paraId="08FEE533">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4 鸡群体重均匀度的测定技术</w:t>
            </w:r>
          </w:p>
          <w:p w14:paraId="3D19E512">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5 产蛋曲线的分析应用技术</w:t>
            </w:r>
          </w:p>
          <w:p w14:paraId="63D1FEF9">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6 家禽产蛋性能鉴定技术</w:t>
            </w:r>
          </w:p>
          <w:p w14:paraId="41D42FFC">
            <w:pPr>
              <w:snapToGrid w:val="0"/>
              <w:spacing w:line="240" w:lineRule="auto"/>
              <w:jc w:val="center"/>
              <w:rPr>
                <w:rFonts w:hint="eastAsia" w:ascii="宋体" w:hAnsi="宋体"/>
                <w:sz w:val="21"/>
                <w:szCs w:val="21"/>
                <w:lang w:val="en-US" w:eastAsia="zh-CN"/>
              </w:rPr>
            </w:pPr>
          </w:p>
        </w:tc>
        <w:tc>
          <w:tcPr>
            <w:tcW w:w="716" w:type="pct"/>
            <w:vAlign w:val="center"/>
          </w:tcPr>
          <w:p w14:paraId="04C348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7F38CA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7D3DC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05C771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p w14:paraId="09A3620C">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402" w:type="pct"/>
            <w:vAlign w:val="center"/>
          </w:tcPr>
          <w:p w14:paraId="4A9F3FD6">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3D9B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728" w:type="pct"/>
            <w:vAlign w:val="center"/>
          </w:tcPr>
          <w:p w14:paraId="49E4D1F2">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仿宋_GB2312" w:eastAsia="仿宋_GB2312"/>
                <w:sz w:val="21"/>
                <w:szCs w:val="21"/>
              </w:rPr>
            </w:pPr>
          </w:p>
          <w:p w14:paraId="77306BDA">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仿宋_GB2312" w:eastAsia="仿宋_GB2312"/>
                <w:sz w:val="21"/>
                <w:szCs w:val="21"/>
              </w:rPr>
            </w:pPr>
          </w:p>
          <w:p w14:paraId="2A062ED5">
            <w:pPr>
              <w:snapToGrid w:val="0"/>
              <w:spacing w:line="240" w:lineRule="auto"/>
              <w:jc w:val="center"/>
              <w:rPr>
                <w:rFonts w:hint="eastAsia" w:ascii="宋体" w:hAnsi="宋体"/>
                <w:sz w:val="21"/>
                <w:szCs w:val="21"/>
                <w:lang w:val="en-US" w:eastAsia="zh-CN"/>
              </w:rPr>
            </w:pPr>
          </w:p>
          <w:p w14:paraId="340D4C5C">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肉鸡生产</w:t>
            </w:r>
          </w:p>
          <w:p w14:paraId="4E1A2CCE">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仿宋_GB2312" w:eastAsia="仿宋_GB2312"/>
                <w:sz w:val="21"/>
                <w:szCs w:val="21"/>
              </w:rPr>
            </w:pPr>
          </w:p>
          <w:p w14:paraId="15D3F4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760" w:type="pct"/>
            <w:vAlign w:val="center"/>
          </w:tcPr>
          <w:p w14:paraId="556C0D9D">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1 快大型肉鸡的饲养管理</w:t>
            </w:r>
          </w:p>
          <w:p w14:paraId="1A51CA1B">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 优质型肉鸡管理技术</w:t>
            </w:r>
          </w:p>
        </w:tc>
        <w:tc>
          <w:tcPr>
            <w:tcW w:w="1300" w:type="pct"/>
            <w:vAlign w:val="center"/>
          </w:tcPr>
          <w:p w14:paraId="46C61B52">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1 快大型肉鸡的饲养管理</w:t>
            </w:r>
          </w:p>
          <w:p w14:paraId="21B4AF45">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 优质型肉鸡管理技术</w:t>
            </w:r>
          </w:p>
        </w:tc>
        <w:tc>
          <w:tcPr>
            <w:tcW w:w="1092" w:type="pct"/>
            <w:vAlign w:val="center"/>
          </w:tcPr>
          <w:p w14:paraId="7CF12737">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1 快大型肉鸡的饲养管理</w:t>
            </w:r>
          </w:p>
          <w:p w14:paraId="783E6560">
            <w:pPr>
              <w:snapToGrid w:val="0"/>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2 优质型肉鸡管理技术</w:t>
            </w:r>
          </w:p>
        </w:tc>
        <w:tc>
          <w:tcPr>
            <w:tcW w:w="716" w:type="pct"/>
            <w:vAlign w:val="center"/>
          </w:tcPr>
          <w:p w14:paraId="4E6FA5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职业道德</w:t>
            </w:r>
          </w:p>
          <w:p w14:paraId="060653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工匠精神</w:t>
            </w:r>
          </w:p>
          <w:p w14:paraId="644849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法制意识</w:t>
            </w:r>
          </w:p>
          <w:p w14:paraId="570F9F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eastAsia="zh-CN"/>
                <w14:textFill>
                  <w14:solidFill>
                    <w14:schemeClr w14:val="tx1"/>
                  </w14:solidFill>
                </w14:textFill>
              </w:rPr>
              <w:t>社会责任</w:t>
            </w:r>
          </w:p>
        </w:tc>
        <w:tc>
          <w:tcPr>
            <w:tcW w:w="402" w:type="pct"/>
            <w:vAlign w:val="center"/>
          </w:tcPr>
          <w:p w14:paraId="4809FD2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14:paraId="2E0DD0C3">
      <w:pPr>
        <w:pStyle w:val="3"/>
        <w:bidi w:val="0"/>
        <w:rPr>
          <w:rFonts w:hint="eastAsia"/>
          <w:lang w:val="en-US" w:eastAsia="zh-CN"/>
        </w:rPr>
      </w:pPr>
      <w:r>
        <w:rPr>
          <w:rFonts w:hint="eastAsia"/>
          <w:lang w:val="en-US" w:eastAsia="zh-CN"/>
        </w:rPr>
        <w:t>六、课程考核与评价</w:t>
      </w:r>
    </w:p>
    <w:p w14:paraId="059D71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14A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3485D2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09E819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32154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59066E9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A98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755E7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8CC8E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15E1A834">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486D7626">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634EA4B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4557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08E929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DBBBE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546BAEA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719" w:type="pct"/>
            <w:tcBorders>
              <w:left w:val="single" w:color="auto" w:sz="4" w:space="0"/>
              <w:right w:val="single" w:color="auto" w:sz="4" w:space="0"/>
            </w:tcBorders>
            <w:vAlign w:val="center"/>
          </w:tcPr>
          <w:p w14:paraId="1C85962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14489FE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17E7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3A822C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43FAD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7EFDC6B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以技能认知和操作方式进行</w:t>
            </w:r>
          </w:p>
        </w:tc>
        <w:tc>
          <w:tcPr>
            <w:tcW w:w="719" w:type="pct"/>
            <w:tcBorders>
              <w:left w:val="single" w:color="auto" w:sz="4" w:space="0"/>
              <w:right w:val="single" w:color="auto" w:sz="4" w:space="0"/>
            </w:tcBorders>
            <w:vAlign w:val="center"/>
          </w:tcPr>
          <w:p w14:paraId="0F38AD1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4361D74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694A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2F7F4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4ECC259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实训报告</w:t>
            </w:r>
          </w:p>
        </w:tc>
        <w:tc>
          <w:tcPr>
            <w:tcW w:w="719" w:type="pct"/>
            <w:tcBorders>
              <w:left w:val="single" w:color="auto" w:sz="4" w:space="0"/>
              <w:right w:val="single" w:color="auto" w:sz="4" w:space="0"/>
            </w:tcBorders>
            <w:vAlign w:val="center"/>
          </w:tcPr>
          <w:p w14:paraId="7B0919B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5107653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675A49CC">
      <w:pPr>
        <w:pStyle w:val="3"/>
        <w:bidi w:val="0"/>
        <w:rPr>
          <w:rFonts w:hint="eastAsia"/>
          <w:lang w:val="en-US" w:eastAsia="zh-CN"/>
        </w:rPr>
      </w:pPr>
      <w:r>
        <w:rPr>
          <w:rFonts w:hint="eastAsia"/>
          <w:lang w:val="en-US" w:eastAsia="zh-CN"/>
        </w:rPr>
        <w:t>七、课程实施与保障</w:t>
      </w:r>
    </w:p>
    <w:p w14:paraId="2000DB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2C3B5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本课程建议采用实验室操作及仿真软件结合的教学方法，选用小组协作等教学方法，依托校内资源和教学平台实施教学。</w:t>
      </w:r>
    </w:p>
    <w:p w14:paraId="1464B8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40DB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工匠精神”、“职业道德”的课程思政价值链，结合中国科学家以及兽医师的经历，将科技创新精神和工匠精神传递给学生，促使专业知识与思政教育水乳交融。融入产业行业发展形势政策，增强学生的学习动力；融入行业知名医师事迹，培养学生医师工匠精神：融合专业创造发明故事，培养学生“创新创业"意识;融入安全教育，提高学生安全意识和防御安全能力，融入国防教学，树立学生科技报国的志向。</w:t>
      </w:r>
    </w:p>
    <w:p w14:paraId="2B7F26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EBAC5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782C5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专职教师在4人左右，其中专职教师3人，来自企业的兼职教师1人。应具备双师素质资格，具有一定的实践经验，教学效果良好，职称和年龄结构合理。</w:t>
      </w:r>
    </w:p>
    <w:p w14:paraId="608EC8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58D0C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054"/>
        <w:gridCol w:w="3532"/>
        <w:gridCol w:w="3494"/>
      </w:tblGrid>
      <w:tr w14:paraId="1A0C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1A337399">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序号</w:t>
            </w:r>
          </w:p>
        </w:tc>
        <w:tc>
          <w:tcPr>
            <w:tcW w:w="1042" w:type="pct"/>
            <w:vAlign w:val="top"/>
          </w:tcPr>
          <w:p w14:paraId="734EBB87">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名称</w:t>
            </w:r>
          </w:p>
        </w:tc>
        <w:tc>
          <w:tcPr>
            <w:tcW w:w="1792" w:type="pct"/>
            <w:vAlign w:val="top"/>
          </w:tcPr>
          <w:p w14:paraId="3AFB7D8F">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基本配置要求</w:t>
            </w:r>
          </w:p>
        </w:tc>
        <w:tc>
          <w:tcPr>
            <w:tcW w:w="1773" w:type="pct"/>
            <w:vAlign w:val="top"/>
          </w:tcPr>
          <w:p w14:paraId="78A028B0">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功能说明</w:t>
            </w:r>
          </w:p>
        </w:tc>
      </w:tr>
      <w:tr w14:paraId="6906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F16884D">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1</w:t>
            </w:r>
          </w:p>
        </w:tc>
        <w:tc>
          <w:tcPr>
            <w:tcW w:w="1042" w:type="pct"/>
            <w:vAlign w:val="center"/>
          </w:tcPr>
          <w:p w14:paraId="4C29F46B">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显微镜实训室</w:t>
            </w:r>
          </w:p>
        </w:tc>
        <w:tc>
          <w:tcPr>
            <w:tcW w:w="1792" w:type="pct"/>
            <w:vAlign w:val="center"/>
          </w:tcPr>
          <w:p w14:paraId="134CAA82">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光学显微镜、显微镜电子显示设备</w:t>
            </w:r>
          </w:p>
        </w:tc>
        <w:tc>
          <w:tcPr>
            <w:tcW w:w="1773" w:type="pct"/>
            <w:vAlign w:val="center"/>
          </w:tcPr>
          <w:p w14:paraId="75E8B9F8">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显微镜观察技术、设备使用和维护训练</w:t>
            </w:r>
          </w:p>
        </w:tc>
      </w:tr>
      <w:tr w14:paraId="44E7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top"/>
          </w:tcPr>
          <w:p w14:paraId="2333BED3">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2</w:t>
            </w:r>
          </w:p>
        </w:tc>
        <w:tc>
          <w:tcPr>
            <w:tcW w:w="1042" w:type="pct"/>
            <w:vAlign w:val="center"/>
          </w:tcPr>
          <w:p w14:paraId="0CC5E848">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动物解剖实训室</w:t>
            </w:r>
          </w:p>
        </w:tc>
        <w:tc>
          <w:tcPr>
            <w:tcW w:w="1792" w:type="pct"/>
            <w:vAlign w:val="center"/>
          </w:tcPr>
          <w:p w14:paraId="33DC00D0">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提供动物标本进行动物的组织器官识别</w:t>
            </w:r>
          </w:p>
        </w:tc>
        <w:tc>
          <w:tcPr>
            <w:tcW w:w="1773" w:type="pct"/>
            <w:vAlign w:val="top"/>
          </w:tcPr>
          <w:p w14:paraId="681D7997">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识别动物解剖器官及组织结构</w:t>
            </w:r>
          </w:p>
        </w:tc>
      </w:tr>
      <w:tr w14:paraId="074A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AD550F8">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3</w:t>
            </w:r>
          </w:p>
        </w:tc>
        <w:tc>
          <w:tcPr>
            <w:tcW w:w="1042" w:type="pct"/>
            <w:vAlign w:val="center"/>
          </w:tcPr>
          <w:p w14:paraId="788F6A37">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动物病理实训室</w:t>
            </w:r>
          </w:p>
        </w:tc>
        <w:tc>
          <w:tcPr>
            <w:tcW w:w="1792" w:type="pct"/>
            <w:vAlign w:val="center"/>
          </w:tcPr>
          <w:p w14:paraId="53087A20">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提供动物组织病理标本、组织切片设备</w:t>
            </w:r>
          </w:p>
        </w:tc>
        <w:tc>
          <w:tcPr>
            <w:tcW w:w="1773" w:type="pct"/>
            <w:vAlign w:val="center"/>
          </w:tcPr>
          <w:p w14:paraId="5D31CE2E">
            <w:pPr>
              <w:pStyle w:val="9"/>
              <w:ind w:firstLine="0" w:firstLineChars="0"/>
              <w:rPr>
                <w:rFonts w:hint="eastAsia" w:ascii="宋体" w:hAnsi="宋体" w:eastAsia="宋体" w:cs="宋体"/>
                <w:color w:val="FF0000"/>
                <w:sz w:val="24"/>
                <w:szCs w:val="24"/>
                <w:vertAlign w:val="baseline"/>
                <w:lang w:val="en-US" w:eastAsia="zh-CN"/>
              </w:rPr>
            </w:pPr>
            <w:r>
              <w:rPr>
                <w:rFonts w:hint="eastAsia" w:ascii="宋体" w:hAnsi="宋体" w:cs="宋体"/>
                <w:iCs/>
                <w:sz w:val="21"/>
                <w:szCs w:val="21"/>
              </w:rPr>
              <w:t>识别病理特征、制备病理组织切片技术</w:t>
            </w:r>
          </w:p>
        </w:tc>
      </w:tr>
      <w:tr w14:paraId="297F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55A1A76">
            <w:pPr>
              <w:pStyle w:val="9"/>
              <w:ind w:firstLine="0" w:firstLineChars="0"/>
              <w:rPr>
                <w:rFonts w:hint="eastAsia" w:ascii="宋体" w:hAnsi="宋体" w:eastAsia="宋体" w:cs="宋体"/>
                <w:iCs/>
                <w:sz w:val="21"/>
                <w:szCs w:val="21"/>
                <w:lang w:val="en-US" w:eastAsia="zh-CN"/>
              </w:rPr>
            </w:pPr>
            <w:r>
              <w:rPr>
                <w:rFonts w:hint="eastAsia" w:ascii="宋体" w:hAnsi="宋体" w:cs="宋体"/>
                <w:iCs/>
                <w:sz w:val="21"/>
                <w:szCs w:val="21"/>
                <w:lang w:val="en-US" w:eastAsia="zh-CN"/>
              </w:rPr>
              <w:t>4</w:t>
            </w:r>
          </w:p>
        </w:tc>
        <w:tc>
          <w:tcPr>
            <w:tcW w:w="1042" w:type="pct"/>
            <w:vAlign w:val="center"/>
          </w:tcPr>
          <w:p w14:paraId="3FE9A18C">
            <w:pPr>
              <w:pStyle w:val="9"/>
              <w:ind w:firstLine="0" w:firstLineChars="0"/>
              <w:rPr>
                <w:rFonts w:hint="eastAsia" w:ascii="宋体" w:hAnsi="宋体" w:cs="宋体"/>
                <w:iCs/>
                <w:sz w:val="21"/>
                <w:szCs w:val="21"/>
              </w:rPr>
            </w:pPr>
            <w:r>
              <w:rPr>
                <w:rFonts w:hint="eastAsia" w:ascii="宋体" w:hAnsi="宋体" w:cs="宋体"/>
                <w:iCs/>
                <w:sz w:val="21"/>
                <w:szCs w:val="21"/>
              </w:rPr>
              <w:t>禽类孵化室、出雏室</w:t>
            </w:r>
          </w:p>
        </w:tc>
        <w:tc>
          <w:tcPr>
            <w:tcW w:w="1792" w:type="pct"/>
            <w:vAlign w:val="center"/>
          </w:tcPr>
          <w:p w14:paraId="654B97BD">
            <w:pPr>
              <w:pStyle w:val="9"/>
              <w:tabs>
                <w:tab w:val="left" w:pos="680"/>
              </w:tabs>
              <w:ind w:firstLine="0" w:firstLineChars="0"/>
              <w:rPr>
                <w:rFonts w:hint="eastAsia" w:ascii="宋体" w:hAnsi="宋体" w:cs="宋体"/>
                <w:iCs/>
                <w:sz w:val="21"/>
                <w:szCs w:val="21"/>
              </w:rPr>
            </w:pPr>
            <w:r>
              <w:rPr>
                <w:rFonts w:hint="eastAsia" w:ascii="宋体" w:hAnsi="宋体" w:cs="宋体"/>
                <w:iCs/>
                <w:sz w:val="21"/>
                <w:szCs w:val="21"/>
              </w:rPr>
              <w:t>禽类的孵化及出雏设备</w:t>
            </w:r>
          </w:p>
        </w:tc>
        <w:tc>
          <w:tcPr>
            <w:tcW w:w="1773" w:type="pct"/>
            <w:vAlign w:val="center"/>
          </w:tcPr>
          <w:p w14:paraId="7573FBF0">
            <w:pPr>
              <w:pStyle w:val="9"/>
              <w:ind w:firstLine="0" w:firstLineChars="0"/>
              <w:rPr>
                <w:rFonts w:hint="eastAsia" w:ascii="宋体" w:hAnsi="宋体" w:cs="宋体"/>
                <w:iCs/>
                <w:sz w:val="21"/>
                <w:szCs w:val="21"/>
              </w:rPr>
            </w:pPr>
            <w:r>
              <w:rPr>
                <w:rFonts w:hint="eastAsia" w:ascii="宋体" w:hAnsi="宋体" w:cs="宋体"/>
                <w:iCs/>
                <w:sz w:val="21"/>
                <w:szCs w:val="21"/>
              </w:rPr>
              <w:t>禽类的孵化和出雏技术的训练</w:t>
            </w:r>
          </w:p>
        </w:tc>
      </w:tr>
      <w:tr w14:paraId="72F1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70C009A">
            <w:pPr>
              <w:pStyle w:val="9"/>
              <w:ind w:firstLine="0" w:firstLineChars="0"/>
              <w:rPr>
                <w:rFonts w:hint="eastAsia" w:ascii="宋体" w:hAnsi="宋体" w:cs="宋体"/>
                <w:iCs/>
                <w:sz w:val="21"/>
                <w:szCs w:val="21"/>
                <w:lang w:val="en-US" w:eastAsia="zh-CN"/>
              </w:rPr>
            </w:pPr>
            <w:r>
              <w:rPr>
                <w:rFonts w:hint="eastAsia" w:ascii="宋体" w:hAnsi="宋体" w:cs="宋体"/>
                <w:iCs/>
                <w:sz w:val="21"/>
                <w:szCs w:val="21"/>
                <w:lang w:val="en-US" w:eastAsia="zh-CN"/>
              </w:rPr>
              <w:t>5</w:t>
            </w:r>
          </w:p>
        </w:tc>
        <w:tc>
          <w:tcPr>
            <w:tcW w:w="1042" w:type="pct"/>
            <w:vAlign w:val="center"/>
          </w:tcPr>
          <w:p w14:paraId="74FD401A">
            <w:pPr>
              <w:pStyle w:val="9"/>
              <w:ind w:firstLine="0" w:firstLineChars="0"/>
              <w:rPr>
                <w:rFonts w:hint="eastAsia" w:ascii="宋体" w:hAnsi="宋体" w:cs="宋体"/>
                <w:iCs/>
                <w:sz w:val="21"/>
                <w:szCs w:val="21"/>
              </w:rPr>
            </w:pPr>
            <w:r>
              <w:rPr>
                <w:rFonts w:hint="eastAsia" w:ascii="宋体" w:hAnsi="宋体" w:cs="宋体"/>
                <w:iCs/>
                <w:sz w:val="21"/>
                <w:szCs w:val="21"/>
              </w:rPr>
              <w:t>动物</w:t>
            </w:r>
            <w:r>
              <w:rPr>
                <w:rFonts w:hint="eastAsia" w:ascii="宋体" w:hAnsi="宋体" w:cs="宋体"/>
                <w:iCs/>
                <w:sz w:val="21"/>
                <w:szCs w:val="21"/>
                <w:lang w:eastAsia="zh-CN"/>
              </w:rPr>
              <w:t>生产</w:t>
            </w:r>
            <w:r>
              <w:rPr>
                <w:rFonts w:hint="eastAsia" w:ascii="宋体" w:hAnsi="宋体" w:cs="宋体"/>
                <w:iCs/>
                <w:sz w:val="21"/>
                <w:szCs w:val="21"/>
              </w:rPr>
              <w:t>虚拟</w:t>
            </w:r>
            <w:r>
              <w:rPr>
                <w:rFonts w:hint="eastAsia" w:ascii="宋体" w:hAnsi="宋体" w:cs="宋体"/>
                <w:iCs/>
                <w:sz w:val="21"/>
                <w:szCs w:val="21"/>
                <w:lang w:eastAsia="zh-CN"/>
              </w:rPr>
              <w:t>仿真</w:t>
            </w:r>
            <w:r>
              <w:rPr>
                <w:rFonts w:hint="eastAsia" w:ascii="宋体" w:hAnsi="宋体" w:cs="宋体"/>
                <w:iCs/>
                <w:sz w:val="21"/>
                <w:szCs w:val="21"/>
              </w:rPr>
              <w:t>实训室</w:t>
            </w:r>
          </w:p>
        </w:tc>
        <w:tc>
          <w:tcPr>
            <w:tcW w:w="1792" w:type="pct"/>
            <w:vAlign w:val="center"/>
          </w:tcPr>
          <w:p w14:paraId="3622DE5C">
            <w:pPr>
              <w:pStyle w:val="9"/>
              <w:ind w:firstLine="0" w:firstLineChars="0"/>
              <w:rPr>
                <w:rFonts w:hint="eastAsia" w:ascii="宋体" w:hAnsi="宋体" w:cs="宋体"/>
                <w:iCs/>
                <w:sz w:val="21"/>
                <w:szCs w:val="21"/>
              </w:rPr>
            </w:pPr>
            <w:r>
              <w:rPr>
                <w:rFonts w:hint="eastAsia" w:ascii="宋体" w:hAnsi="宋体" w:cs="宋体"/>
                <w:iCs/>
                <w:sz w:val="21"/>
                <w:szCs w:val="21"/>
                <w:lang w:eastAsia="zh-CN"/>
              </w:rPr>
              <w:t>禽，猪，牛羊生产的</w:t>
            </w:r>
            <w:r>
              <w:rPr>
                <w:rFonts w:hint="eastAsia" w:ascii="宋体" w:hAnsi="宋体" w:cs="宋体"/>
                <w:iCs/>
                <w:sz w:val="21"/>
                <w:szCs w:val="21"/>
              </w:rPr>
              <w:t>虚拟仿真成像系统设备</w:t>
            </w:r>
          </w:p>
        </w:tc>
        <w:tc>
          <w:tcPr>
            <w:tcW w:w="1773" w:type="pct"/>
            <w:vAlign w:val="center"/>
          </w:tcPr>
          <w:p w14:paraId="4630A54D">
            <w:pPr>
              <w:pStyle w:val="9"/>
              <w:ind w:firstLine="0" w:firstLineChars="0"/>
              <w:rPr>
                <w:rFonts w:hint="eastAsia" w:ascii="宋体" w:hAnsi="宋体" w:cs="宋体"/>
                <w:iCs/>
                <w:sz w:val="21"/>
                <w:szCs w:val="21"/>
              </w:rPr>
            </w:pPr>
            <w:r>
              <w:rPr>
                <w:rFonts w:hint="eastAsia" w:ascii="宋体" w:hAnsi="宋体" w:cs="宋体"/>
                <w:iCs/>
                <w:sz w:val="21"/>
                <w:szCs w:val="21"/>
              </w:rPr>
              <w:t>虚拟仿真软件成像进行动物</w:t>
            </w:r>
            <w:r>
              <w:rPr>
                <w:rFonts w:hint="eastAsia" w:ascii="宋体" w:hAnsi="宋体" w:cs="宋体"/>
                <w:iCs/>
                <w:sz w:val="21"/>
                <w:szCs w:val="21"/>
                <w:lang w:eastAsia="zh-CN"/>
              </w:rPr>
              <w:t>养殖的岗位模拟操作</w:t>
            </w:r>
          </w:p>
        </w:tc>
      </w:tr>
    </w:tbl>
    <w:p w14:paraId="077C6D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78B4C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8CA2A43">
      <w:pPr>
        <w:spacing w:line="400" w:lineRule="exact"/>
        <w:ind w:firstLine="480" w:firstLineChars="200"/>
        <w:rPr>
          <w:rFonts w:hint="eastAsia" w:ascii="宋体" w:hAnsi="宋体" w:cs="宋体"/>
          <w:iCs/>
          <w:sz w:val="24"/>
        </w:rPr>
      </w:pPr>
      <w:r>
        <w:rPr>
          <w:rFonts w:hint="eastAsia" w:ascii="宋体" w:hAnsi="宋体" w:cs="宋体"/>
          <w:iCs/>
          <w:sz w:val="24"/>
        </w:rPr>
        <w:t>⑴教材选用基本要求</w:t>
      </w:r>
    </w:p>
    <w:p w14:paraId="11861AB8">
      <w:pPr>
        <w:spacing w:line="400" w:lineRule="exact"/>
        <w:ind w:firstLine="480" w:firstLineChars="200"/>
        <w:rPr>
          <w:rFonts w:hint="eastAsia" w:ascii="宋体" w:hAnsi="宋体" w:cs="宋体"/>
          <w:iCs/>
          <w:sz w:val="24"/>
        </w:rPr>
      </w:pPr>
      <w:r>
        <w:rPr>
          <w:rFonts w:hint="eastAsia" w:ascii="宋体" w:hAnsi="宋体" w:cs="宋体"/>
          <w:iCs/>
          <w:sz w:val="24"/>
        </w:rPr>
        <w:t>按照国家规定选用近五年的高职高专</w:t>
      </w:r>
      <w:r>
        <w:rPr>
          <w:rFonts w:hint="eastAsia" w:ascii="宋体" w:hAnsi="宋体" w:cs="宋体"/>
          <w:iCs/>
          <w:sz w:val="24"/>
          <w:lang w:eastAsia="zh-CN"/>
        </w:rPr>
        <w:t>国家规划</w:t>
      </w:r>
      <w:r>
        <w:rPr>
          <w:rFonts w:hint="eastAsia" w:ascii="宋体" w:hAnsi="宋体" w:cs="宋体"/>
          <w:iCs/>
          <w:sz w:val="24"/>
        </w:rPr>
        <w:t>优质教材，禁止不合格的教材进入课堂，学校应建立专业教师、行业专家和教研人员等参与的教材选用机构，完善教材选用制度，经过规范程序择优选用教材。</w:t>
      </w:r>
    </w:p>
    <w:p w14:paraId="4A86EABF">
      <w:pPr>
        <w:spacing w:line="400" w:lineRule="exact"/>
        <w:ind w:firstLine="480" w:firstLineChars="200"/>
        <w:rPr>
          <w:rFonts w:hint="eastAsia" w:ascii="宋体" w:hAnsi="宋体" w:cs="宋体"/>
          <w:iCs/>
          <w:sz w:val="24"/>
        </w:rPr>
      </w:pPr>
      <w:r>
        <w:rPr>
          <w:rFonts w:hint="eastAsia" w:ascii="宋体" w:hAnsi="宋体" w:cs="宋体"/>
          <w:iCs/>
          <w:sz w:val="24"/>
        </w:rPr>
        <w:t>⑵图书文献配备基本要求</w:t>
      </w:r>
    </w:p>
    <w:p w14:paraId="4DDED491">
      <w:pPr>
        <w:spacing w:line="400" w:lineRule="exact"/>
        <w:ind w:firstLine="480" w:firstLineChars="200"/>
        <w:rPr>
          <w:rFonts w:hint="eastAsia" w:ascii="宋体" w:hAnsi="宋体" w:eastAsia="宋体" w:cs="宋体"/>
          <w:sz w:val="24"/>
          <w:szCs w:val="24"/>
          <w:lang w:val="en-US" w:eastAsia="zh-CN"/>
        </w:rPr>
      </w:pPr>
      <w:r>
        <w:rPr>
          <w:rFonts w:hint="eastAsia" w:ascii="宋体" w:hAnsi="宋体" w:cs="宋体"/>
          <w:iCs/>
          <w:sz w:val="24"/>
        </w:rPr>
        <w:t>图书文献配备能满足人才培养、专业建设、教科研等工作的需要，方便师生查询、借阅。专业类图书文献主要包括畜牧兽医行业的政策法规、行业发展相关文献、专业知识素材、国内外行业发展现状等；畜牧兽医专业必备图书资料，以及5种以上专业学术期刊和有关职业技能鉴定类图书。</w:t>
      </w:r>
    </w:p>
    <w:p w14:paraId="4BDB33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16DE0F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cs="宋体"/>
          <w:iCs/>
          <w:sz w:val="24"/>
          <w:lang w:val="en-US" w:eastAsia="zh-CN"/>
        </w:rPr>
      </w:pPr>
      <w:r>
        <w:rPr>
          <w:rFonts w:hint="eastAsia" w:ascii="宋体" w:hAnsi="宋体" w:cs="宋体"/>
          <w:iCs/>
          <w:sz w:val="24"/>
          <w:lang w:val="en-US" w:eastAsia="zh-CN"/>
        </w:rPr>
        <w:t xml:space="preserve">    </w:t>
      </w:r>
      <w:r>
        <w:rPr>
          <w:rFonts w:hint="eastAsia" w:ascii="宋体" w:hAnsi="宋体" w:cs="宋体"/>
          <w:iCs/>
          <w:sz w:val="24"/>
        </w:rPr>
        <w:t>建设、配备与本专业有关的音视频素材、教学课件、数字化教学案例库、虚拟仿真软件、数字教材等专业教学资源库，应种类丰富、形式多样、使用便捷、动态更新，能满足教学要求。</w:t>
      </w:r>
    </w:p>
    <w:p w14:paraId="026CEEF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DF3AC7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E9CC58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517330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95D9AD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75A134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771BD9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AAA14F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B0E03A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74E4B6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44771A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FB2B72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918BE9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F7CF20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F982AD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6E3E65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9EC644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789B85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EFFCDB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B12E2D7">
      <w:pPr>
        <w:pStyle w:val="2"/>
        <w:bidi w:val="0"/>
        <w:rPr>
          <w:rFonts w:hint="eastAsia"/>
          <w:lang w:val="en-US" w:eastAsia="zh-CN"/>
        </w:rPr>
      </w:pPr>
      <w:bookmarkStart w:id="62" w:name="_Toc27346"/>
      <w:bookmarkStart w:id="63" w:name="_Toc15922"/>
      <w:r>
        <w:rPr>
          <w:rFonts w:hint="eastAsia"/>
          <w:lang w:val="en-US" w:eastAsia="zh-CN"/>
        </w:rPr>
        <w:t>《养猪与猪病防治实训》课程标准</w:t>
      </w:r>
      <w:bookmarkEnd w:id="62"/>
      <w:bookmarkEnd w:id="63"/>
    </w:p>
    <w:p w14:paraId="7C0C18F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62BF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1CFD61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34BCF4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养猪与猪病防治实训</w:t>
            </w:r>
          </w:p>
        </w:tc>
        <w:tc>
          <w:tcPr>
            <w:tcW w:w="975" w:type="dxa"/>
            <w:tcBorders>
              <w:top w:val="single" w:color="auto" w:sz="4" w:space="0"/>
              <w:left w:val="single" w:color="auto" w:sz="4" w:space="0"/>
              <w:bottom w:val="single" w:color="auto" w:sz="4" w:space="0"/>
              <w:right w:val="single" w:color="auto" w:sz="4" w:space="0"/>
            </w:tcBorders>
            <w:vAlign w:val="center"/>
          </w:tcPr>
          <w:p w14:paraId="3539EED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9B1E4B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xcxm24034</w:t>
            </w:r>
          </w:p>
        </w:tc>
      </w:tr>
      <w:tr w14:paraId="09B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1FD90B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0994A52">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6AEF392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231A141">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6A3858C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7935BAC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6A91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49EF2E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705513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72EF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357DAE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237E34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6FB3F73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FB0C34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9B093C6">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EDD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592C78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993C10B">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动物营养与饲料、动物遗传繁育、养殖场环境控制</w:t>
            </w:r>
          </w:p>
        </w:tc>
      </w:tr>
      <w:tr w14:paraId="74F6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4752E2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1B829DA">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动物疫病防治技术、兽医资格证考试培训、动物防疫与检疫</w:t>
            </w:r>
          </w:p>
        </w:tc>
      </w:tr>
      <w:tr w14:paraId="3B74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59786D">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选用教材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2016556">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《养猪与猪病防治》（邢军，中国农业大学出版社，2022，ISBN978-7-5655-2729-6)</w:t>
            </w:r>
          </w:p>
        </w:tc>
      </w:tr>
      <w:tr w14:paraId="5767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74219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69FCD36">
            <w:pPr>
              <w:widowControl/>
              <w:jc w:val="left"/>
              <w:rPr>
                <w:rFonts w:hint="eastAsia" w:eastAsiaTheme="minorEastAsia"/>
                <w:lang w:val="en-US" w:eastAsia="zh-CN"/>
              </w:rPr>
            </w:pPr>
            <w:r>
              <w:rPr>
                <w:rFonts w:hint="eastAsia"/>
                <w:lang w:val="en-US" w:eastAsia="zh-CN"/>
              </w:rPr>
              <w:t>郑佳</w:t>
            </w:r>
          </w:p>
        </w:tc>
        <w:tc>
          <w:tcPr>
            <w:tcW w:w="975" w:type="dxa"/>
            <w:tcBorders>
              <w:top w:val="single" w:color="auto" w:sz="4" w:space="0"/>
              <w:left w:val="single" w:color="auto" w:sz="4" w:space="0"/>
              <w:bottom w:val="single" w:color="auto" w:sz="4" w:space="0"/>
              <w:right w:val="single" w:color="auto" w:sz="4" w:space="0"/>
            </w:tcBorders>
            <w:vAlign w:val="center"/>
          </w:tcPr>
          <w:p w14:paraId="4FC2E0B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8B38CC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38A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39CABA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58171B6">
            <w:pPr>
              <w:widowControl/>
              <w:jc w:val="left"/>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6C30306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7BCCC13">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2646BE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19BEEA4">
      <w:pPr>
        <w:pStyle w:val="3"/>
        <w:bidi w:val="0"/>
        <w:rPr>
          <w:rFonts w:hint="eastAsia"/>
          <w:lang w:val="en-US" w:eastAsia="zh-CN"/>
        </w:rPr>
      </w:pPr>
      <w:r>
        <w:rPr>
          <w:rFonts w:hint="eastAsia"/>
          <w:lang w:val="en-US" w:eastAsia="zh-CN"/>
        </w:rPr>
        <w:t>二、课程定位</w:t>
      </w:r>
    </w:p>
    <w:p w14:paraId="25D9A8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本课程是畜牧兽医专业的一门专业技能实训课程，是在《养猪与猪病防治》等理论课程学习基础上开设的集中性实践教学环节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对接养猪生产一线岗位技能要求，通过系统化、情境化的实操训练，强化学生猪品种识别、饲养管理、繁殖操作、疾病防治等方面的动手能力和问题解决能力，实现理论与实践的深度融合，为学生后续顶岗实习、就业及获取“1+X”相关职业技能等级证书奠定扎实的实践基础。</w:t>
      </w:r>
    </w:p>
    <w:p w14:paraId="402074A2">
      <w:pPr>
        <w:pStyle w:val="3"/>
        <w:bidi w:val="0"/>
        <w:rPr>
          <w:rFonts w:hint="eastAsia"/>
          <w:lang w:val="en-US" w:eastAsia="zh-CN"/>
        </w:rPr>
      </w:pPr>
      <w:r>
        <w:rPr>
          <w:rFonts w:hint="eastAsia"/>
          <w:lang w:val="en-US" w:eastAsia="zh-CN"/>
        </w:rPr>
        <w:t>三、课程设计思路</w:t>
      </w:r>
    </w:p>
    <w:p w14:paraId="3D4D8A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遵循“能力为本、实践主导”的原则，以养猪生产典型工作任务为主线，设计模块化、递进式的实训项目。依托校内实训基地，创设仿真的工作场景，开展“做中学、学中做”的实操训练。采用“任务驱动、教师示范、学生实操、总结评价”四步教学法，强化技能规范与安全操作意识。课程评价以实操考核为主，注重过程记录与成果评价相结合，全面反映学生的技能掌握程度和职业素养水平。</w:t>
      </w:r>
    </w:p>
    <w:p w14:paraId="55B3A1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课程思政融入实践全过程，通过实际操作中的规范严谨、团队协作、安全生产、环保处理等环节，潜移默化地培养学生的工匠精神、责任意识、法治观念和绿色养殖理念。</w:t>
      </w:r>
    </w:p>
    <w:p w14:paraId="5982EB6A">
      <w:pPr>
        <w:pStyle w:val="3"/>
        <w:bidi w:val="0"/>
        <w:rPr>
          <w:rFonts w:hint="eastAsia"/>
          <w:lang w:val="en-US" w:eastAsia="zh-CN"/>
        </w:rPr>
      </w:pPr>
      <w:r>
        <w:rPr>
          <w:rFonts w:hint="eastAsia"/>
          <w:lang w:val="en-US" w:eastAsia="zh-CN"/>
        </w:rPr>
        <w:t>四、课程目标</w:t>
      </w:r>
    </w:p>
    <w:p w14:paraId="3C752F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B46FC60">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巩固猪品种特征、繁殖生理、饲养管理要点等基础知识。</w:t>
      </w:r>
    </w:p>
    <w:p w14:paraId="37D6A147">
      <w:pPr>
        <w:keepNext w:val="0"/>
        <w:keepLines w:val="0"/>
        <w:pageBreakBefore w:val="0"/>
        <w:widowControl w:val="0"/>
        <w:numPr>
          <w:ilvl w:val="0"/>
          <w:numId w:val="3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理解猪场常见设备的操作原理与环境调控方法。</w:t>
      </w:r>
    </w:p>
    <w:p w14:paraId="313627B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E832459">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能独立完成猪的体尺测量、外貌评定与品种识别。</w:t>
      </w:r>
    </w:p>
    <w:p w14:paraId="58A9967F">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能规范进行母猪发情鉴定、人工授精辅助操作、妊娠诊断（B超）及接产护理。</w:t>
      </w:r>
    </w:p>
    <w:p w14:paraId="47C452E7">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能熟练执行各类猪群（仔猪、生长猪、种猪）的日常饲养管理操作。</w:t>
      </w:r>
    </w:p>
    <w:p w14:paraId="21156190">
      <w:pPr>
        <w:keepNext w:val="0"/>
        <w:keepLines w:val="0"/>
        <w:pageBreakBefore w:val="0"/>
        <w:widowControl w:val="0"/>
        <w:numPr>
          <w:ilvl w:val="0"/>
          <w:numId w:val="37"/>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能正确使用环境控制设备，并进行猪舍环境监测与调节。</w:t>
      </w:r>
    </w:p>
    <w:p w14:paraId="5693EA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EAADCFD">
      <w:pPr>
        <w:keepNext w:val="0"/>
        <w:keepLines w:val="0"/>
        <w:pageBreakBefore w:val="0"/>
        <w:widowControl w:val="0"/>
        <w:numPr>
          <w:ilvl w:val="0"/>
          <w:numId w:val="42"/>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养成严谨细致、规范操作、吃苦耐劳的工作作风。</w:t>
      </w:r>
    </w:p>
    <w:p w14:paraId="0B10DD26">
      <w:pPr>
        <w:keepNext w:val="0"/>
        <w:keepLines w:val="0"/>
        <w:pageBreakBefore w:val="0"/>
        <w:widowControl w:val="0"/>
        <w:numPr>
          <w:ilvl w:val="0"/>
          <w:numId w:val="42"/>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增强团队协作、沟通协调和安全生产意识。</w:t>
      </w:r>
    </w:p>
    <w:p w14:paraId="0A84927D">
      <w:pPr>
        <w:keepNext w:val="0"/>
        <w:keepLines w:val="0"/>
        <w:pageBreakBefore w:val="0"/>
        <w:widowControl w:val="0"/>
        <w:numPr>
          <w:ilvl w:val="0"/>
          <w:numId w:val="42"/>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树立动物福利、环境保护和绿色养殖的责任感。</w:t>
      </w:r>
    </w:p>
    <w:p w14:paraId="041CB475">
      <w:pPr>
        <w:keepNext w:val="0"/>
        <w:keepLines w:val="0"/>
        <w:pageBreakBefore w:val="0"/>
        <w:widowControl w:val="0"/>
        <w:numPr>
          <w:ilvl w:val="0"/>
          <w:numId w:val="42"/>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培养分析问题、解决实际问题的综合职业能力</w:t>
      </w:r>
    </w:p>
    <w:p w14:paraId="45840D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D3CA996">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在实操中渗透“精益求精、追求卓越”的工匠精神。</w:t>
      </w:r>
    </w:p>
    <w:p w14:paraId="37A4B451">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强化“依法防疫、规范操作”的法治意识和职业道德。</w:t>
      </w:r>
    </w:p>
    <w:p w14:paraId="6CE8C841">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树立“关爱动物、保障健康”的生命伦理观。</w:t>
      </w:r>
    </w:p>
    <w:p w14:paraId="5D36CB34">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培养“节约资源、生态循环”的绿色发展理念。</w:t>
      </w:r>
    </w:p>
    <w:p w14:paraId="1B6BE242">
      <w:pPr>
        <w:keepNext w:val="0"/>
        <w:keepLines w:val="0"/>
        <w:pageBreakBefore w:val="0"/>
        <w:widowControl w:val="0"/>
        <w:numPr>
          <w:ilvl w:val="0"/>
          <w:numId w:val="38"/>
        </w:numPr>
        <w:kinsoku/>
        <w:wordWrap/>
        <w:overflowPunct/>
        <w:topLinePunct w:val="0"/>
        <w:autoSpaceDE/>
        <w:autoSpaceDN/>
        <w:bidi w:val="0"/>
        <w:adjustRightInd w:val="0"/>
        <w:snapToGrid w:val="0"/>
        <w:spacing w:line="440" w:lineRule="exact"/>
        <w:ind w:left="0" w:leftChars="0" w:firstLine="40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增强“服务三农、产业报国”的职业认同感和使命感。</w:t>
      </w:r>
    </w:p>
    <w:p w14:paraId="0AD54AAA">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942"/>
        <w:gridCol w:w="1327"/>
        <w:gridCol w:w="1662"/>
        <w:gridCol w:w="2050"/>
        <w:gridCol w:w="1218"/>
      </w:tblGrid>
      <w:tr w14:paraId="3CB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38" w:type="pct"/>
            <w:vAlign w:val="center"/>
          </w:tcPr>
          <w:p w14:paraId="54F0ED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985" w:type="pct"/>
            <w:vAlign w:val="center"/>
          </w:tcPr>
          <w:p w14:paraId="34464A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673" w:type="pct"/>
            <w:vAlign w:val="center"/>
          </w:tcPr>
          <w:p w14:paraId="014386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43" w:type="pct"/>
            <w:vAlign w:val="center"/>
          </w:tcPr>
          <w:p w14:paraId="38FDB6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0" w:type="pct"/>
            <w:vAlign w:val="center"/>
          </w:tcPr>
          <w:p w14:paraId="0F9DD5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618" w:type="pct"/>
            <w:vAlign w:val="center"/>
          </w:tcPr>
          <w:p w14:paraId="362BF2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3AF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43BBFF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实训一：猪品种识别与体况评定</w:t>
            </w:r>
          </w:p>
          <w:p w14:paraId="43A323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985" w:type="pct"/>
            <w:vAlign w:val="center"/>
          </w:tcPr>
          <w:p w14:paraId="18C54B0E">
            <w:pPr>
              <w:keepNext w:val="0"/>
              <w:keepLines w:val="0"/>
              <w:pageBreakBefore w:val="0"/>
              <w:widowControl w:val="0"/>
              <w:numPr>
                <w:ilvl w:val="1"/>
                <w:numId w:val="43"/>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主要猪品种识别</w:t>
            </w:r>
          </w:p>
          <w:p w14:paraId="2E9EEC7E">
            <w:pPr>
              <w:keepNext w:val="0"/>
              <w:keepLines w:val="0"/>
              <w:pageBreakBefore w:val="0"/>
              <w:widowControl w:val="0"/>
              <w:numPr>
                <w:ilvl w:val="1"/>
                <w:numId w:val="43"/>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猪的体尺测量与外貌评分</w:t>
            </w:r>
          </w:p>
          <w:p w14:paraId="430BCD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73" w:type="pct"/>
            <w:vAlign w:val="center"/>
          </w:tcPr>
          <w:p w14:paraId="5EB32D55">
            <w:pPr>
              <w:keepNext w:val="0"/>
              <w:keepLines w:val="0"/>
              <w:pageBreakBefore w:val="0"/>
              <w:widowControl w:val="0"/>
              <w:numPr>
                <w:ilvl w:val="0"/>
                <w:numId w:val="44"/>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常见猪品种的外貌特征、生产类型。</w:t>
            </w:r>
          </w:p>
          <w:p w14:paraId="6A9B1620">
            <w:pPr>
              <w:keepNext w:val="0"/>
              <w:keepLines w:val="0"/>
              <w:pageBreakBefore w:val="0"/>
              <w:widowControl w:val="0"/>
              <w:numPr>
                <w:ilvl w:val="0"/>
                <w:numId w:val="44"/>
              </w:numPr>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体尺测量部位与方法，外貌评定要点。</w:t>
            </w:r>
          </w:p>
          <w:p w14:paraId="68378378">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843" w:type="pct"/>
            <w:vAlign w:val="center"/>
          </w:tcPr>
          <w:p w14:paraId="5C5D36E4">
            <w:pPr>
              <w:keepNext w:val="0"/>
              <w:keepLines w:val="0"/>
              <w:pageBreakBefore w:val="0"/>
              <w:widowControl w:val="0"/>
              <w:numPr>
                <w:ilvl w:val="0"/>
                <w:numId w:val="4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能准确指认并描述常见品种猪。</w:t>
            </w:r>
          </w:p>
          <w:p w14:paraId="657EE638">
            <w:pPr>
              <w:keepNext w:val="0"/>
              <w:keepLines w:val="0"/>
              <w:pageBreakBefore w:val="0"/>
              <w:widowControl w:val="0"/>
              <w:numPr>
                <w:ilvl w:val="0"/>
                <w:numId w:val="4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能规范进行体长、体高、胸围等体尺测量。</w:t>
            </w:r>
          </w:p>
          <w:p w14:paraId="370B2BB5">
            <w:pPr>
              <w:keepNext w:val="0"/>
              <w:keepLines w:val="0"/>
              <w:pageBreakBefore w:val="0"/>
              <w:widowControl w:val="0"/>
              <w:numPr>
                <w:ilvl w:val="0"/>
                <w:numId w:val="45"/>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能依据标准对猪进行初步外貌评定。</w:t>
            </w:r>
          </w:p>
        </w:tc>
        <w:tc>
          <w:tcPr>
            <w:tcW w:w="1040" w:type="pct"/>
            <w:vAlign w:val="center"/>
          </w:tcPr>
          <w:p w14:paraId="08BEEB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种业自信与严谨态度：认识我国优良地方猪种，树立种业安全观；培养观察细致、描述准确的工作习惯。</w:t>
            </w:r>
          </w:p>
          <w:p w14:paraId="5D2117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1"/>
                <w:szCs w:val="21"/>
                <w:lang w:val="en-US" w:eastAsia="zh-CN"/>
              </w:rPr>
            </w:pPr>
          </w:p>
        </w:tc>
        <w:tc>
          <w:tcPr>
            <w:tcW w:w="618" w:type="pct"/>
            <w:vAlign w:val="center"/>
          </w:tcPr>
          <w:p w14:paraId="096F42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3818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5475F8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实训二：猪繁殖技术实操</w:t>
            </w:r>
          </w:p>
          <w:p w14:paraId="1DD752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tc>
        <w:tc>
          <w:tcPr>
            <w:tcW w:w="985" w:type="pct"/>
            <w:vAlign w:val="center"/>
          </w:tcPr>
          <w:p w14:paraId="6163F5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 母猪发情鉴定</w:t>
            </w:r>
          </w:p>
          <w:p w14:paraId="2F6200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 猪人工授精技术模拟</w:t>
            </w:r>
          </w:p>
          <w:p w14:paraId="6C560E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 B超妊娠诊断操作</w:t>
            </w:r>
          </w:p>
          <w:p w14:paraId="7BB305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 接产与新生仔猪护理</w:t>
            </w:r>
          </w:p>
          <w:p w14:paraId="056D8D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73" w:type="pct"/>
            <w:vAlign w:val="center"/>
          </w:tcPr>
          <w:p w14:paraId="4753C19A">
            <w:pPr>
              <w:keepNext w:val="0"/>
              <w:keepLines w:val="0"/>
              <w:pageBreakBefore w:val="0"/>
              <w:widowControl w:val="0"/>
              <w:numPr>
                <w:ilvl w:val="0"/>
                <w:numId w:val="46"/>
              </w:numPr>
              <w:kinsoku/>
              <w:wordWrap/>
              <w:overflowPunct/>
              <w:topLinePunct w:val="0"/>
              <w:autoSpaceDE/>
              <w:autoSpaceDN/>
              <w:bidi w:val="0"/>
              <w:adjustRightInd w:val="0"/>
              <w:snapToGrid w:val="0"/>
              <w:ind w:left="-480" w:leftChars="0" w:firstLine="48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发情症状与鉴定方法。</w:t>
            </w:r>
          </w:p>
          <w:p w14:paraId="2A8994D6">
            <w:pPr>
              <w:keepNext w:val="0"/>
              <w:keepLines w:val="0"/>
              <w:pageBreakBefore w:val="0"/>
              <w:widowControl w:val="0"/>
              <w:numPr>
                <w:ilvl w:val="0"/>
                <w:numId w:val="46"/>
              </w:numPr>
              <w:kinsoku/>
              <w:wordWrap/>
              <w:overflowPunct/>
              <w:topLinePunct w:val="0"/>
              <w:autoSpaceDE/>
              <w:autoSpaceDN/>
              <w:bidi w:val="0"/>
              <w:adjustRightInd w:val="0"/>
              <w:snapToGrid w:val="0"/>
              <w:ind w:left="-480" w:leftChars="0" w:firstLine="48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人工授精器械认知与模拟操作要点。</w:t>
            </w:r>
          </w:p>
          <w:p w14:paraId="57B7AB57">
            <w:pPr>
              <w:keepNext w:val="0"/>
              <w:keepLines w:val="0"/>
              <w:pageBreakBefore w:val="0"/>
              <w:widowControl w:val="0"/>
              <w:numPr>
                <w:ilvl w:val="0"/>
                <w:numId w:val="46"/>
              </w:numPr>
              <w:kinsoku/>
              <w:wordWrap/>
              <w:overflowPunct/>
              <w:topLinePunct w:val="0"/>
              <w:autoSpaceDE/>
              <w:autoSpaceDN/>
              <w:bidi w:val="0"/>
              <w:adjustRightInd w:val="0"/>
              <w:snapToGrid w:val="0"/>
              <w:ind w:left="-480" w:leftChars="0" w:firstLine="48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B超仪基本操作与妊娠影像识别。</w:t>
            </w:r>
          </w:p>
          <w:p w14:paraId="1A9DFD83">
            <w:pPr>
              <w:keepNext w:val="0"/>
              <w:keepLines w:val="0"/>
              <w:pageBreakBefore w:val="0"/>
              <w:widowControl w:val="0"/>
              <w:numPr>
                <w:ilvl w:val="0"/>
                <w:numId w:val="46"/>
              </w:numPr>
              <w:kinsoku/>
              <w:wordWrap/>
              <w:overflowPunct/>
              <w:topLinePunct w:val="0"/>
              <w:autoSpaceDE/>
              <w:autoSpaceDN/>
              <w:bidi w:val="0"/>
              <w:adjustRightInd w:val="0"/>
              <w:snapToGrid w:val="0"/>
              <w:ind w:left="-480" w:leftChars="0" w:firstLine="48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接产流程、断脐、保温、初乳饲喂等操作规范。</w:t>
            </w:r>
          </w:p>
          <w:p w14:paraId="5D4E857F">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843" w:type="pct"/>
            <w:vAlign w:val="center"/>
          </w:tcPr>
          <w:p w14:paraId="079FE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能通过外部观察与公猪试情法判断母猪发情。</w:t>
            </w:r>
          </w:p>
          <w:p w14:paraId="44FD9C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能识别人工授精器械，完成器械准备与模拟输精操作。</w:t>
            </w:r>
          </w:p>
          <w:p w14:paraId="6444C9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能在教师指导下进行B超仪操作，识别典型妊娠图像。</w:t>
            </w:r>
          </w:p>
          <w:p w14:paraId="1A8F7757">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1040" w:type="pct"/>
            <w:vAlign w:val="center"/>
          </w:tcPr>
          <w:p w14:paraId="066794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关爱生命与责任担当：操作中体现对动物的爱护；理解繁殖效率对生产的重要性，培养岗位责任心。</w:t>
            </w:r>
          </w:p>
          <w:p w14:paraId="1D3B4B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18" w:type="pct"/>
            <w:vAlign w:val="center"/>
          </w:tcPr>
          <w:p w14:paraId="26583C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r>
      <w:tr w14:paraId="2290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56F7C9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实训三：饲养管理技能训练</w:t>
            </w:r>
          </w:p>
          <w:p w14:paraId="389F4B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tc>
        <w:tc>
          <w:tcPr>
            <w:tcW w:w="985" w:type="pct"/>
            <w:vAlign w:val="center"/>
          </w:tcPr>
          <w:p w14:paraId="18BCA7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 各类猪群饲喂操作</w:t>
            </w:r>
          </w:p>
          <w:p w14:paraId="55BCD2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 仔猪护理技术（补铁、去势、断奶）</w:t>
            </w:r>
          </w:p>
          <w:p w14:paraId="0154F7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 猪群行为观察与异常识别</w:t>
            </w:r>
          </w:p>
          <w:p w14:paraId="18C99D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73" w:type="pct"/>
            <w:vAlign w:val="center"/>
          </w:tcPr>
          <w:p w14:paraId="3EC60FDD">
            <w:pPr>
              <w:keepNext w:val="0"/>
              <w:keepLines w:val="0"/>
              <w:pageBreakBefore w:val="0"/>
              <w:widowControl w:val="0"/>
              <w:numPr>
                <w:ilvl w:val="0"/>
                <w:numId w:val="47"/>
              </w:numPr>
              <w:kinsoku/>
              <w:wordWrap/>
              <w:overflowPunct/>
              <w:topLinePunct w:val="0"/>
              <w:autoSpaceDE/>
              <w:autoSpaceDN/>
              <w:bidi w:val="0"/>
              <w:adjustRightInd w:val="0"/>
              <w:snapToGrid w:val="0"/>
              <w:ind w:left="117"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不同生理阶段猪的营养需求与饲喂技术。</w:t>
            </w:r>
          </w:p>
          <w:p w14:paraId="64F33B32">
            <w:pPr>
              <w:keepNext w:val="0"/>
              <w:keepLines w:val="0"/>
              <w:pageBreakBefore w:val="0"/>
              <w:widowControl w:val="0"/>
              <w:numPr>
                <w:ilvl w:val="0"/>
                <w:numId w:val="47"/>
              </w:numPr>
              <w:kinsoku/>
              <w:wordWrap/>
              <w:overflowPunct/>
              <w:topLinePunct w:val="0"/>
              <w:autoSpaceDE/>
              <w:autoSpaceDN/>
              <w:bidi w:val="0"/>
              <w:adjustRightInd w:val="0"/>
              <w:snapToGrid w:val="0"/>
              <w:ind w:left="117"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仔猪关键护理操作的目的、方法与注意事项。</w:t>
            </w:r>
          </w:p>
          <w:p w14:paraId="482D1F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健康猪与异常猪的行为与体征差异。</w:t>
            </w:r>
          </w:p>
          <w:p w14:paraId="4C8051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843" w:type="pct"/>
            <w:vAlign w:val="center"/>
          </w:tcPr>
          <w:p w14:paraId="3DE678BD">
            <w:pPr>
              <w:keepNext w:val="0"/>
              <w:keepLines w:val="0"/>
              <w:pageBreakBefore w:val="0"/>
              <w:widowControl w:val="0"/>
              <w:numPr>
                <w:ilvl w:val="0"/>
                <w:numId w:val="48"/>
              </w:numPr>
              <w:kinsoku/>
              <w:wordWrap/>
              <w:overflowPunct/>
              <w:topLinePunct w:val="0"/>
              <w:autoSpaceDE/>
              <w:autoSpaceDN/>
              <w:bidi w:val="0"/>
              <w:adjustRightInd w:val="0"/>
              <w:snapToGrid w:val="0"/>
              <w:ind w:left="59"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能根据规程为不同猪群配制日粮（模拟）并执行饲喂。</w:t>
            </w:r>
          </w:p>
          <w:p w14:paraId="61CB6710">
            <w:pPr>
              <w:keepNext w:val="0"/>
              <w:keepLines w:val="0"/>
              <w:pageBreakBefore w:val="0"/>
              <w:widowControl w:val="0"/>
              <w:numPr>
                <w:ilvl w:val="0"/>
                <w:numId w:val="48"/>
              </w:numPr>
              <w:kinsoku/>
              <w:wordWrap/>
              <w:overflowPunct/>
              <w:topLinePunct w:val="0"/>
              <w:autoSpaceDE/>
              <w:autoSpaceDN/>
              <w:bidi w:val="0"/>
              <w:adjustRightInd w:val="0"/>
              <w:snapToGrid w:val="0"/>
              <w:ind w:left="59"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能规范完成仔猪补铁、去势（模拟或模型）、断奶操作。</w:t>
            </w:r>
          </w:p>
          <w:p w14:paraId="3BE846E9">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能通过观察识别猪群的异常行为与临床表现。</w:t>
            </w:r>
          </w:p>
          <w:p w14:paraId="57C7BE45">
            <w:pPr>
              <w:keepNext w:val="0"/>
              <w:keepLines w:val="0"/>
              <w:widowControl/>
              <w:suppressLineNumbers w:val="0"/>
              <w:jc w:val="center"/>
              <w:rPr>
                <w:rFonts w:hint="eastAsia" w:ascii="宋体" w:hAnsi="宋体" w:eastAsia="宋体" w:cs="宋体"/>
                <w:sz w:val="21"/>
                <w:szCs w:val="21"/>
                <w:lang w:val="en-US" w:eastAsia="zh-CN"/>
              </w:rPr>
            </w:pPr>
          </w:p>
        </w:tc>
        <w:tc>
          <w:tcPr>
            <w:tcW w:w="1040" w:type="pct"/>
            <w:vAlign w:val="center"/>
          </w:tcPr>
          <w:p w14:paraId="62C2AD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工匠精神与动物福利：培养耐心、细致的饲养习惯；树立科学饲养、尊重动物生长规律的理念。</w:t>
            </w:r>
          </w:p>
          <w:p w14:paraId="088833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18" w:type="pct"/>
            <w:vAlign w:val="center"/>
          </w:tcPr>
          <w:p w14:paraId="023516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3ABF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14:paraId="04821E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p w14:paraId="634EA1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p w14:paraId="34776F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p w14:paraId="3C357A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p w14:paraId="1D1494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实训四：猪场设施与环境调控</w:t>
            </w:r>
          </w:p>
          <w:p w14:paraId="0F961A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p>
        </w:tc>
        <w:tc>
          <w:tcPr>
            <w:tcW w:w="985" w:type="pct"/>
            <w:vAlign w:val="center"/>
          </w:tcPr>
          <w:p w14:paraId="1F8A85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 猪舍结构与设备认知</w:t>
            </w:r>
          </w:p>
          <w:p w14:paraId="6AA0B0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 环境控制设备操作</w:t>
            </w:r>
          </w:p>
          <w:p w14:paraId="7D3FFC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 粪污处理流程参观（或仿真）</w:t>
            </w:r>
          </w:p>
          <w:p w14:paraId="7944627B">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673" w:type="pct"/>
            <w:vAlign w:val="center"/>
          </w:tcPr>
          <w:p w14:paraId="487250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猪舍类型、栏位设计及常见设备功能。</w:t>
            </w:r>
          </w:p>
          <w:p w14:paraId="5E7325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风机、水帘、暖灯等环控设备的工作原理与调节方法。</w:t>
            </w:r>
          </w:p>
          <w:p w14:paraId="1C3B35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粪污收集、处理与资源化利用基本流程。</w:t>
            </w:r>
          </w:p>
          <w:p w14:paraId="4AADD0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843" w:type="pct"/>
            <w:vAlign w:val="center"/>
          </w:tcPr>
          <w:p w14:paraId="2A66B7A0">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能辨识不同猪舍结构及主要养殖设备。</w:t>
            </w:r>
          </w:p>
          <w:p w14:paraId="20DA7B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能操作常见环控设备，调节实训场所的温湿度。</w:t>
            </w:r>
          </w:p>
          <w:p w14:paraId="53E7AD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能简述粪污处理工艺流程及其意义。</w:t>
            </w:r>
          </w:p>
          <w:p w14:paraId="1FADE259">
            <w:pPr>
              <w:keepNext w:val="0"/>
              <w:keepLines w:val="0"/>
              <w:pageBreakBefore w:val="0"/>
              <w:widowControl w:val="0"/>
              <w:kinsoku/>
              <w:wordWrap/>
              <w:overflowPunct/>
              <w:topLinePunct w:val="0"/>
              <w:autoSpaceDE/>
              <w:autoSpaceDN/>
              <w:bidi w:val="0"/>
              <w:adjustRightInd w:val="0"/>
              <w:snapToGrid w:val="0"/>
              <w:ind w:firstLine="420" w:firstLineChars="200"/>
              <w:jc w:val="center"/>
              <w:textAlignment w:val="auto"/>
              <w:rPr>
                <w:rFonts w:hint="eastAsia" w:ascii="宋体" w:hAnsi="宋体" w:eastAsia="宋体" w:cs="宋体"/>
                <w:sz w:val="21"/>
                <w:szCs w:val="21"/>
                <w:lang w:val="en-US" w:eastAsia="zh-CN"/>
              </w:rPr>
            </w:pPr>
          </w:p>
        </w:tc>
        <w:tc>
          <w:tcPr>
            <w:tcW w:w="1040" w:type="pct"/>
            <w:vAlign w:val="center"/>
          </w:tcPr>
          <w:p w14:paraId="038E39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创新意识与环保理念：了解现代化养殖装备，激发技术兴趣；强化环保设备认知，树立清洁生产观念。</w:t>
            </w:r>
          </w:p>
          <w:p w14:paraId="770FA0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c>
          <w:tcPr>
            <w:tcW w:w="618" w:type="pct"/>
            <w:vAlign w:val="center"/>
          </w:tcPr>
          <w:p w14:paraId="5581B0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14:paraId="0FB145C2">
      <w:pPr>
        <w:pStyle w:val="3"/>
        <w:bidi w:val="0"/>
        <w:rPr>
          <w:rFonts w:hint="eastAsia"/>
          <w:lang w:val="en-US" w:eastAsia="zh-CN"/>
        </w:rPr>
      </w:pPr>
      <w:r>
        <w:rPr>
          <w:rFonts w:hint="eastAsia"/>
          <w:lang w:val="en-US" w:eastAsia="zh-CN"/>
        </w:rPr>
        <w:t>六、课程考核与评价</w:t>
      </w:r>
    </w:p>
    <w:p w14:paraId="4135C33A">
      <w:pPr>
        <w:keepNext w:val="0"/>
        <w:keepLines w:val="0"/>
        <w:widowControl/>
        <w:suppressLineNumbers w:val="0"/>
        <w:ind w:firstLine="480" w:firstLineChars="200"/>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本实训课程考核以过程性实操考核为主，重点评价学生的技能规范性、任务完成质量、安全意识和职业素养。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5DE7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6704D9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58C24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9E436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37C9F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641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4B3A10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4ACB5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A75A768">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kern w:val="2"/>
                <w:sz w:val="21"/>
                <w:szCs w:val="24"/>
                <w:lang w:val="en-US" w:eastAsia="zh-CN" w:bidi="ar-SA"/>
              </w:rPr>
              <w:t>出勤、实训态度、纪律、团队协作</w:t>
            </w:r>
          </w:p>
        </w:tc>
        <w:tc>
          <w:tcPr>
            <w:tcW w:w="1311" w:type="dxa"/>
            <w:tcBorders>
              <w:left w:val="single" w:color="auto" w:sz="4" w:space="0"/>
              <w:right w:val="single" w:color="auto" w:sz="4" w:space="0"/>
            </w:tcBorders>
            <w:shd w:val="clear" w:color="auto" w:fill="auto"/>
            <w:vAlign w:val="center"/>
          </w:tcPr>
          <w:p w14:paraId="299DC175">
            <w:pPr>
              <w:jc w:val="center"/>
              <w:rPr>
                <w:rFonts w:hint="default" w:ascii="Arial" w:hAnsi="Arial" w:eastAsia="宋体" w:cs="Arial"/>
                <w:color w:val="auto"/>
                <w:kern w:val="2"/>
                <w:sz w:val="21"/>
                <w:szCs w:val="24"/>
                <w:lang w:val="en-US" w:eastAsia="zh-CN" w:bidi="ar-SA"/>
              </w:rPr>
            </w:pPr>
            <w:r>
              <w:rPr>
                <w:rFonts w:hint="default" w:ascii="Arial" w:hAnsi="Arial" w:eastAsia="宋体" w:cs="Arial"/>
                <w:color w:val="auto"/>
                <w:kern w:val="2"/>
                <w:sz w:val="21"/>
                <w:szCs w:val="24"/>
                <w:lang w:val="en-US" w:eastAsia="zh-CN" w:bidi="ar-SA"/>
              </w:rPr>
              <w:t>30% </w:t>
            </w:r>
          </w:p>
        </w:tc>
        <w:tc>
          <w:tcPr>
            <w:tcW w:w="3540" w:type="dxa"/>
            <w:tcBorders>
              <w:left w:val="single" w:color="auto" w:sz="4" w:space="0"/>
              <w:right w:val="single" w:color="auto" w:sz="4" w:space="0"/>
            </w:tcBorders>
            <w:vAlign w:val="center"/>
          </w:tcPr>
          <w:p w14:paraId="7C4B5444">
            <w:pPr>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出勤与纪律30%、实训态度30%、团队协作40%</w:t>
            </w:r>
          </w:p>
        </w:tc>
      </w:tr>
      <w:tr w14:paraId="0D29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4" w:type="dxa"/>
            <w:vMerge w:val="continue"/>
            <w:tcBorders>
              <w:left w:val="single" w:color="auto" w:sz="4" w:space="0"/>
              <w:right w:val="single" w:color="auto" w:sz="4" w:space="0"/>
            </w:tcBorders>
            <w:vAlign w:val="center"/>
          </w:tcPr>
          <w:p w14:paraId="4C9FB0F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shd w:val="clear" w:color="auto" w:fill="auto"/>
            <w:vAlign w:val="center"/>
          </w:tcPr>
          <w:p w14:paraId="01B8DC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任务评价 </w:t>
            </w:r>
          </w:p>
          <w:p w14:paraId="3383E1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kern w:val="2"/>
                <w:sz w:val="21"/>
                <w:szCs w:val="21"/>
                <w:lang w:val="en-US" w:eastAsia="zh-CN" w:bidi="ar-SA"/>
              </w:rPr>
            </w:pPr>
          </w:p>
        </w:tc>
        <w:tc>
          <w:tcPr>
            <w:tcW w:w="2108" w:type="dxa"/>
            <w:tcBorders>
              <w:left w:val="single" w:color="auto" w:sz="4" w:space="0"/>
              <w:right w:val="single" w:color="auto" w:sz="4" w:space="0"/>
            </w:tcBorders>
            <w:shd w:val="clear" w:color="auto" w:fill="auto"/>
            <w:vAlign w:val="center"/>
          </w:tcPr>
          <w:p w14:paraId="0966F70F">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每个实训任务的操作考核与报告</w:t>
            </w:r>
          </w:p>
        </w:tc>
        <w:tc>
          <w:tcPr>
            <w:tcW w:w="1311" w:type="dxa"/>
            <w:tcBorders>
              <w:left w:val="single" w:color="auto" w:sz="4" w:space="0"/>
              <w:right w:val="single" w:color="auto" w:sz="4" w:space="0"/>
            </w:tcBorders>
            <w:shd w:val="clear" w:color="auto" w:fill="auto"/>
            <w:vAlign w:val="center"/>
          </w:tcPr>
          <w:p w14:paraId="3B0E09E7">
            <w:pPr>
              <w:jc w:val="center"/>
              <w:rPr>
                <w:rFonts w:hint="eastAsia" w:ascii="宋体" w:hAnsi="宋体" w:eastAsia="宋体" w:cs="宋体"/>
                <w:color w:val="auto"/>
                <w:kern w:val="2"/>
                <w:sz w:val="21"/>
                <w:szCs w:val="21"/>
                <w:lang w:val="en-US" w:eastAsia="zh-CN" w:bidi="ar-SA"/>
              </w:rPr>
            </w:pPr>
            <w:r>
              <w:rPr>
                <w:rFonts w:hint="eastAsia" w:ascii="Arial" w:hAnsi="Arial" w:eastAsia="宋体" w:cs="Arial"/>
                <w:color w:val="auto"/>
                <w:lang w:val="en-US" w:eastAsia="zh-CN"/>
              </w:rPr>
              <w:t>40%</w:t>
            </w:r>
          </w:p>
        </w:tc>
        <w:tc>
          <w:tcPr>
            <w:tcW w:w="3540" w:type="dxa"/>
            <w:tcBorders>
              <w:left w:val="single" w:color="auto" w:sz="4" w:space="0"/>
              <w:right w:val="single" w:color="auto" w:sz="4" w:space="0"/>
            </w:tcBorders>
            <w:shd w:val="clear" w:color="auto" w:fill="auto"/>
            <w:vAlign w:val="center"/>
          </w:tcPr>
          <w:p w14:paraId="4F6D8483">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操作规范性50%、任务完成质量30%、实训报告20%</w:t>
            </w:r>
          </w:p>
        </w:tc>
      </w:tr>
      <w:tr w14:paraId="5E18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jc w:val="center"/>
        </w:trPr>
        <w:tc>
          <w:tcPr>
            <w:tcW w:w="2153" w:type="dxa"/>
            <w:gridSpan w:val="2"/>
            <w:tcBorders>
              <w:left w:val="single" w:color="auto" w:sz="4" w:space="0"/>
              <w:right w:val="single" w:color="auto" w:sz="4" w:space="0"/>
            </w:tcBorders>
            <w:vAlign w:val="center"/>
          </w:tcPr>
          <w:p w14:paraId="7ECE4B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w:t>
            </w:r>
          </w:p>
        </w:tc>
        <w:tc>
          <w:tcPr>
            <w:tcW w:w="2108" w:type="dxa"/>
            <w:tcBorders>
              <w:left w:val="single" w:color="auto" w:sz="4" w:space="0"/>
              <w:right w:val="single" w:color="auto" w:sz="4" w:space="0"/>
            </w:tcBorders>
            <w:vAlign w:val="center"/>
          </w:tcPr>
          <w:p w14:paraId="5F973E65">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期末设置综合技能实操考核</w:t>
            </w:r>
          </w:p>
        </w:tc>
        <w:tc>
          <w:tcPr>
            <w:tcW w:w="1311" w:type="dxa"/>
            <w:tcBorders>
              <w:left w:val="single" w:color="auto" w:sz="4" w:space="0"/>
              <w:right w:val="single" w:color="auto" w:sz="4" w:space="0"/>
            </w:tcBorders>
            <w:vAlign w:val="center"/>
          </w:tcPr>
          <w:p w14:paraId="37C0AD11">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540" w:type="dxa"/>
            <w:tcBorders>
              <w:left w:val="single" w:color="auto" w:sz="4" w:space="0"/>
              <w:right w:val="single" w:color="auto" w:sz="4" w:space="0"/>
            </w:tcBorders>
            <w:vAlign w:val="center"/>
          </w:tcPr>
          <w:p w14:paraId="667BCFA1">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随机抽取1-2项核心技能进行现场操作，评价其熟练度与规范性</w:t>
            </w:r>
          </w:p>
        </w:tc>
      </w:tr>
    </w:tbl>
    <w:p w14:paraId="60ABB436">
      <w:pPr>
        <w:pStyle w:val="3"/>
        <w:bidi w:val="0"/>
        <w:rPr>
          <w:rFonts w:hint="eastAsia"/>
          <w:lang w:val="en-US" w:eastAsia="zh-CN"/>
        </w:rPr>
      </w:pPr>
      <w:r>
        <w:rPr>
          <w:rFonts w:hint="eastAsia"/>
          <w:lang w:val="en-US" w:eastAsia="zh-CN"/>
        </w:rPr>
        <w:t>七、课程实施与保障</w:t>
      </w:r>
    </w:p>
    <w:p w14:paraId="21A028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79B6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 xml:space="preserve">采用“任务驱动、教师示范、分组实操、巡回指导、总结提升”的教学模式。教师先讲解示范，学生分组练习，教师全程指导并纠正错误。充分利用校内实训室、养殖模型、虚拟仿真软件开展教学。强调安全第一，严格执行实训室和养殖场安全操作规程。    </w:t>
      </w:r>
      <w:r>
        <w:rPr>
          <w:rFonts w:hint="eastAsia" w:ascii="宋体" w:hAnsi="宋体" w:eastAsia="宋体" w:cs="宋体"/>
          <w:color w:val="FF0000"/>
          <w:sz w:val="24"/>
          <w:szCs w:val="24"/>
          <w:lang w:val="en-US" w:eastAsia="zh-CN"/>
        </w:rPr>
        <w:t xml:space="preserve">   </w:t>
      </w:r>
    </w:p>
    <w:p w14:paraId="4757EC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7B639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思政教育融入技能操作的每一个环节：在规范操作中强调工匠精神，在团队协作中培养集体意识，在安全规程中强化法治观念，在环保处理中树立生态理念。通过讲述行业技能能手事迹、分析操作失误导致的生产事故案例等方式，实现技能传授与价值引领的有机结合。</w:t>
      </w:r>
    </w:p>
    <w:p w14:paraId="5B8BB8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9CD30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6D10D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配备专职实训指导教师不少于2人，应具备扎实的实践操作技能和丰富的养猪场工作经验，持有相关职业资格证书。</w:t>
      </w:r>
    </w:p>
    <w:p w14:paraId="665D3A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38F2B0A4">
      <w:pPr>
        <w:keepNext w:val="0"/>
        <w:keepLines w:val="0"/>
        <w:pageBreakBefore w:val="0"/>
        <w:widowControl w:val="0"/>
        <w:numPr>
          <w:ilvl w:val="0"/>
          <w:numId w:val="49"/>
        </w:numPr>
        <w:kinsoku/>
        <w:wordWrap/>
        <w:overflowPunct/>
        <w:topLinePunct w:val="0"/>
        <w:autoSpaceDE/>
        <w:autoSpaceDN/>
        <w:bidi w:val="0"/>
        <w:adjustRightInd w:val="0"/>
        <w:snapToGrid w:val="0"/>
        <w:spacing w:line="440" w:lineRule="exact"/>
        <w:ind w:left="845" w:leftChars="0" w:hanging="42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校内畜牧实训中心（具备养猪模拟栏舍、繁殖实训室、兽医诊疗实训室）。</w:t>
      </w:r>
    </w:p>
    <w:p w14:paraId="1D92BACB">
      <w:pPr>
        <w:keepNext w:val="0"/>
        <w:keepLines w:val="0"/>
        <w:pageBreakBefore w:val="0"/>
        <w:widowControl w:val="0"/>
        <w:numPr>
          <w:ilvl w:val="0"/>
          <w:numId w:val="49"/>
        </w:numPr>
        <w:kinsoku/>
        <w:wordWrap/>
        <w:overflowPunct/>
        <w:topLinePunct w:val="0"/>
        <w:autoSpaceDE/>
        <w:autoSpaceDN/>
        <w:bidi w:val="0"/>
        <w:adjustRightInd w:val="0"/>
        <w:snapToGrid w:val="0"/>
        <w:spacing w:line="440" w:lineRule="exact"/>
        <w:ind w:left="845" w:leftChars="0" w:hanging="42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动物模型、仿真教具（如注射模型、B超仿真机）。</w:t>
      </w:r>
    </w:p>
    <w:p w14:paraId="5ADD8AE0">
      <w:pPr>
        <w:keepNext w:val="0"/>
        <w:keepLines w:val="0"/>
        <w:pageBreakBefore w:val="0"/>
        <w:widowControl w:val="0"/>
        <w:numPr>
          <w:ilvl w:val="0"/>
          <w:numId w:val="49"/>
        </w:numPr>
        <w:kinsoku/>
        <w:wordWrap/>
        <w:overflowPunct/>
        <w:topLinePunct w:val="0"/>
        <w:autoSpaceDE/>
        <w:autoSpaceDN/>
        <w:bidi w:val="0"/>
        <w:adjustRightInd w:val="0"/>
        <w:snapToGrid w:val="0"/>
        <w:spacing w:line="440" w:lineRule="exact"/>
        <w:ind w:left="845" w:leftChars="0" w:hanging="425"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必要的实操器械与设备（测量工具、授精器械、注射器、消毒器械、环控设备示教装置等）。</w:t>
      </w:r>
    </w:p>
    <w:p w14:paraId="7BBAED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22E27DC">
      <w:pPr>
        <w:numPr>
          <w:ilvl w:val="0"/>
          <w:numId w:val="50"/>
        </w:numPr>
        <w:ind w:left="84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基本教学资源：实训课程标准、实训指导书、安全操作规范、实训任务单、考核评分标准。</w:t>
      </w:r>
    </w:p>
    <w:p w14:paraId="68079B16">
      <w:pPr>
        <w:numPr>
          <w:ilvl w:val="0"/>
          <w:numId w:val="50"/>
        </w:numPr>
        <w:ind w:left="845" w:leftChars="0" w:hanging="425"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数字教学资源：关键技能操作视频、虚拟仿真实训软件、典型病例图谱、在线答疑平台。</w:t>
      </w:r>
    </w:p>
    <w:p w14:paraId="42D72B1F">
      <w:pPr>
        <w:rPr>
          <w:rFonts w:hint="eastAsia" w:ascii="宋体" w:hAnsi="宋体" w:eastAsia="宋体" w:cs="宋体"/>
          <w:sz w:val="24"/>
          <w:szCs w:val="24"/>
          <w:lang w:val="en-US" w:eastAsia="zh-CN"/>
        </w:rPr>
      </w:pPr>
    </w:p>
    <w:p w14:paraId="251C45C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ACA0706">
      <w:pPr>
        <w:rPr>
          <w:rFonts w:hint="eastAsia"/>
          <w:lang w:val="en-US" w:eastAsia="zh-CN"/>
        </w:rPr>
      </w:pPr>
      <w:bookmarkStart w:id="64" w:name="_Toc13643"/>
      <w:r>
        <w:rPr>
          <w:rFonts w:hint="eastAsia"/>
          <w:lang w:val="en-US" w:eastAsia="zh-CN"/>
        </w:rPr>
        <w:br w:type="page"/>
      </w:r>
    </w:p>
    <w:p w14:paraId="00A00256">
      <w:pPr>
        <w:pStyle w:val="2"/>
        <w:bidi w:val="0"/>
        <w:jc w:val="center"/>
        <w:rPr>
          <w:rFonts w:hint="eastAsia"/>
          <w:lang w:val="en-US" w:eastAsia="zh-CN"/>
        </w:rPr>
      </w:pPr>
      <w:bookmarkStart w:id="65" w:name="_Toc31828"/>
      <w:r>
        <w:rPr>
          <w:rFonts w:hint="eastAsia"/>
          <w:lang w:val="en-US" w:eastAsia="zh-CN"/>
        </w:rPr>
        <w:t>《动物临床诊疗实训》课程标准</w:t>
      </w:r>
      <w:bookmarkEnd w:id="64"/>
      <w:bookmarkEnd w:id="65"/>
    </w:p>
    <w:p w14:paraId="6B56E58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793D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707769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55C68F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动物临床诊疗实训</w:t>
            </w:r>
          </w:p>
        </w:tc>
        <w:tc>
          <w:tcPr>
            <w:tcW w:w="975" w:type="dxa"/>
            <w:tcBorders>
              <w:top w:val="single" w:color="auto" w:sz="4" w:space="0"/>
              <w:left w:val="single" w:color="auto" w:sz="4" w:space="0"/>
              <w:bottom w:val="single" w:color="auto" w:sz="4" w:space="0"/>
              <w:right w:val="single" w:color="auto" w:sz="4" w:space="0"/>
            </w:tcBorders>
            <w:vAlign w:val="center"/>
          </w:tcPr>
          <w:p w14:paraId="1268FB3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A7E84B0">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xcxm24032</w:t>
            </w:r>
          </w:p>
        </w:tc>
      </w:tr>
      <w:tr w14:paraId="119A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35777D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4C29E9B">
            <w:pPr>
              <w:jc w:val="center"/>
              <w:rPr>
                <w:rFonts w:hint="default" w:eastAsiaTheme="minorEastAsia"/>
                <w:sz w:val="21"/>
                <w:szCs w:val="21"/>
                <w:lang w:val="en-US" w:eastAsia="zh-CN"/>
              </w:rPr>
            </w:pPr>
            <w:r>
              <w:rPr>
                <w:rFonts w:hint="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66338F10">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B807B71">
            <w:pPr>
              <w:jc w:val="center"/>
              <w:rPr>
                <w:rFonts w:hint="eastAsia"/>
                <w:sz w:val="21"/>
                <w:szCs w:val="21"/>
                <w:lang w:val="en-US" w:eastAsia="zh-CN"/>
              </w:rPr>
            </w:pPr>
            <w:r>
              <w:rPr>
                <w:rFonts w:hint="eastAsia"/>
                <w:sz w:val="21"/>
                <w:szCs w:val="21"/>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781C4C3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2F64E0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1学分</w:t>
            </w:r>
          </w:p>
        </w:tc>
      </w:tr>
      <w:tr w14:paraId="02F0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B8DBAC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857D491">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畜牧兽医专业</w:t>
            </w:r>
          </w:p>
        </w:tc>
      </w:tr>
      <w:tr w14:paraId="1974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EACFF0A">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EFA1097">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2F570B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D81C1C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585CE4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EAD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EF1728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AFCD0CE">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动物微生物、动物解剖生理、动物传染病等</w:t>
            </w:r>
          </w:p>
        </w:tc>
      </w:tr>
      <w:tr w14:paraId="69DF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A8BAC8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861B465">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动物</w:t>
            </w:r>
            <w:r>
              <w:rPr>
                <w:rFonts w:hint="eastAsia" w:ascii="Arial" w:hAnsi="Arial" w:eastAsia="宋体" w:cs="Arial"/>
                <w:color w:val="auto"/>
                <w:sz w:val="21"/>
                <w:szCs w:val="21"/>
                <w:lang w:val="en-US" w:eastAsia="zh-CN"/>
              </w:rPr>
              <w:t>外科、动物内科、动物产科</w:t>
            </w:r>
            <w:r>
              <w:rPr>
                <w:rFonts w:hint="default" w:ascii="Arial" w:hAnsi="Arial" w:eastAsia="宋体" w:cs="Arial"/>
                <w:color w:val="auto"/>
                <w:sz w:val="21"/>
                <w:szCs w:val="21"/>
                <w:lang w:val="en-US" w:eastAsia="zh-CN"/>
              </w:rPr>
              <w:t>等</w:t>
            </w:r>
          </w:p>
        </w:tc>
      </w:tr>
      <w:tr w14:paraId="632C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12D06CC">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628ABD5">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兽医临床诊疗技术</w:t>
            </w:r>
            <w:r>
              <w:rPr>
                <w:rFonts w:ascii="Arial" w:hAnsi="Arial" w:eastAsia="宋体" w:cs="Arial"/>
                <w:sz w:val="21"/>
                <w:szCs w:val="21"/>
              </w:rPr>
              <w:t>》（</w:t>
            </w:r>
            <w:r>
              <w:rPr>
                <w:rFonts w:hint="eastAsia" w:ascii="Arial" w:hAnsi="Arial" w:eastAsia="宋体" w:cs="Arial"/>
                <w:sz w:val="21"/>
                <w:szCs w:val="21"/>
                <w:lang w:val="en-US" w:eastAsia="zh-CN"/>
              </w:rPr>
              <w:t>作者吴敏秋</w:t>
            </w:r>
            <w:r>
              <w:rPr>
                <w:rFonts w:hint="eastAsia" w:ascii="Arial" w:hAnsi="Arial" w:eastAsia="宋体" w:cs="Arial"/>
                <w:sz w:val="21"/>
                <w:szCs w:val="21"/>
              </w:rPr>
              <w:t>，</w:t>
            </w:r>
            <w:r>
              <w:rPr>
                <w:rFonts w:hint="eastAsia" w:ascii="Arial" w:hAnsi="Arial" w:eastAsia="宋体" w:cs="Arial"/>
                <w:sz w:val="21"/>
                <w:szCs w:val="21"/>
                <w:lang w:val="en-US" w:eastAsia="zh-CN"/>
              </w:rPr>
              <w:t>出版社中国农业出版社，出版年份2021，ISBN978-7-5655-2476-9号</w:t>
            </w:r>
            <w:r>
              <w:rPr>
                <w:rFonts w:ascii="Arial" w:hAnsi="Arial" w:eastAsia="宋体" w:cs="Arial"/>
                <w:sz w:val="21"/>
                <w:szCs w:val="21"/>
              </w:rPr>
              <w:t>)</w:t>
            </w:r>
          </w:p>
        </w:tc>
      </w:tr>
      <w:tr w14:paraId="3921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9C562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3A0AAA9">
            <w:pPr>
              <w:widowControl/>
              <w:jc w:val="left"/>
              <w:rPr>
                <w:rFonts w:hint="default" w:eastAsiaTheme="minorEastAsia"/>
                <w:sz w:val="21"/>
                <w:szCs w:val="21"/>
                <w:lang w:val="en-US" w:eastAsia="zh-CN"/>
              </w:rPr>
            </w:pPr>
            <w:r>
              <w:rPr>
                <w:rFonts w:hint="eastAsia"/>
                <w:sz w:val="21"/>
                <w:szCs w:val="21"/>
                <w:lang w:val="en-US" w:eastAsia="zh-CN"/>
              </w:rPr>
              <w:t>房新、谭聪</w:t>
            </w:r>
          </w:p>
        </w:tc>
        <w:tc>
          <w:tcPr>
            <w:tcW w:w="975" w:type="dxa"/>
            <w:tcBorders>
              <w:top w:val="single" w:color="auto" w:sz="4" w:space="0"/>
              <w:left w:val="single" w:color="auto" w:sz="4" w:space="0"/>
              <w:bottom w:val="single" w:color="auto" w:sz="4" w:space="0"/>
              <w:right w:val="single" w:color="auto" w:sz="4" w:space="0"/>
            </w:tcBorders>
            <w:vAlign w:val="center"/>
          </w:tcPr>
          <w:p w14:paraId="0EC108B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3598AC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7D3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A72EDA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5E859D0">
            <w:pPr>
              <w:widowControl/>
              <w:jc w:val="left"/>
              <w:rPr>
                <w:rFonts w:hint="eastAsia"/>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DE0A30D">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4B3252E">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6703C7B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4E2DB81">
      <w:pPr>
        <w:pStyle w:val="3"/>
        <w:bidi w:val="0"/>
        <w:rPr>
          <w:rFonts w:hint="eastAsia"/>
          <w:lang w:val="en-US" w:eastAsia="zh-CN"/>
        </w:rPr>
      </w:pPr>
      <w:r>
        <w:rPr>
          <w:rFonts w:hint="eastAsia"/>
          <w:lang w:val="en-US" w:eastAsia="zh-CN"/>
        </w:rPr>
        <w:t>二、课程定位</w:t>
      </w:r>
    </w:p>
    <w:p w14:paraId="38556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课程以动物临床诊疗岗位需求为导向，聚焦畜禽及伴侣动物常见病、多发病的临床诊断与基础治疗操作，培养学生具备独立开展临床检查、规范实施诊疗操作、妥善处理诊疗场景问题的核心职业能力，是连接理论知识与临床实践的关键纽带，对提升学生职业素养、增强岗位适配性具有重要意义。</w:t>
      </w:r>
    </w:p>
    <w:p w14:paraId="1FEFD295">
      <w:pPr>
        <w:pStyle w:val="3"/>
        <w:bidi w:val="0"/>
        <w:rPr>
          <w:rFonts w:hint="eastAsia"/>
          <w:lang w:val="en-US" w:eastAsia="zh-CN"/>
        </w:rPr>
      </w:pPr>
      <w:r>
        <w:rPr>
          <w:rFonts w:hint="eastAsia"/>
          <w:lang w:val="en-US" w:eastAsia="zh-CN"/>
        </w:rPr>
        <w:t>三、课程设计思路</w:t>
      </w:r>
    </w:p>
    <w:p w14:paraId="1F8E9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本课程遵循“以岗位需求为核心，以能力培养为主线，理论与实践深度融合”的设计理念，打破传统实训课程的学科化体系，构建“岗位任务驱动、场景化教学、过程性评价”的实训模式。</w:t>
      </w:r>
    </w:p>
    <w:p w14:paraId="00E68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形式上，基于畜牧兽医、宠物医疗等行业岗位职业能力要求，联合行业企业专家梳理临床诊疗岗位核心工作任务，将课程内容分解为临床检查、标本采集与处理、常用治疗技术、常见病诊疗案例分析等模块，确保实训内容与岗位实际工作高度契合。其次，采用“理论铺垫—示范操作—分组实操—纠错指导—案例复盘”的教学流程，依托实训中心模拟诊疗室、动物病房、实验室等场地，结合真实畜禽养殖场、宠物医院案例，营造沉浸式临床场景，让学生在实践中掌握操作技能。</w:t>
      </w:r>
    </w:p>
    <w:p w14:paraId="5D8A9F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评价注重过程性考核与终结性考核相结合，构建涵盖知识、技能、素质与思政的多维度评价体系。结合国家乡村振兴战略、畜牧业高质量发展需求，融入行业新技术、新规范，以及“职业院校技能大赛、大学生创新创业大赛等相关内容，推动“岗课赛证”融通培养。课程思政方面，挖掘</w:t>
      </w:r>
      <w:r>
        <w:rPr>
          <w:rFonts w:hint="eastAsia" w:asciiTheme="minorEastAsia" w:hAnsiTheme="minorEastAsia" w:cstheme="minorEastAsia"/>
          <w:sz w:val="24"/>
          <w:szCs w:val="24"/>
          <w:lang w:val="en-US" w:eastAsia="zh-CN"/>
        </w:rPr>
        <w:t>微生物学</w:t>
      </w:r>
      <w:r>
        <w:rPr>
          <w:rFonts w:hint="eastAsia" w:asciiTheme="minorEastAsia" w:hAnsiTheme="minorEastAsia" w:eastAsiaTheme="minorEastAsia" w:cstheme="minorEastAsia"/>
          <w:sz w:val="24"/>
          <w:szCs w:val="24"/>
          <w:lang w:val="en-US" w:eastAsia="zh-CN"/>
        </w:rPr>
        <w:t>领域的科学家精神、兽医职业道德、动物福利理念、生态文明意识等思政元素，通过讲述我国畜牧兽医事业发展成就、行业模范事迹等，培养学生“知农爱农、强牧兴牧”的家国情怀和“精益求精、尊重生命”的职业精神。</w:t>
      </w:r>
    </w:p>
    <w:p w14:paraId="0E351E24">
      <w:pPr>
        <w:pStyle w:val="3"/>
        <w:bidi w:val="0"/>
        <w:rPr>
          <w:rFonts w:hint="eastAsia"/>
          <w:lang w:val="en-US" w:eastAsia="zh-CN"/>
        </w:rPr>
      </w:pPr>
      <w:r>
        <w:rPr>
          <w:rFonts w:hint="eastAsia"/>
          <w:lang w:val="en-US" w:eastAsia="zh-CN"/>
        </w:rPr>
        <w:t>四、课程目标</w:t>
      </w:r>
    </w:p>
    <w:p w14:paraId="7BAA2F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3EF11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掌握动物临床检查的基本方法（视诊、触诊、叩诊、听诊、嗅诊）及操作要领；熟记猪、牛、羊、犬、猫等常见动物的正常生理指标（体温、心率、呼吸频率、血压等）及判读标准。</w:t>
      </w:r>
    </w:p>
    <w:p w14:paraId="23C098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熟悉畜禽及伴侣动物常见生理指标（体温、脉搏、呼吸、精神状态等）的正常范围及异常变化的临床意义。</w:t>
      </w:r>
    </w:p>
    <w:p w14:paraId="0CAF3E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掌握血液、尿液、粪便等常用标本的采集方法、保存条件及初步处理流程。</w:t>
      </w:r>
    </w:p>
    <w:p w14:paraId="179EB5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熟悉常用治疗技术（注射、输液、给药、消毒、止血、包扎等）的原理、适用场景及操作规范。</w:t>
      </w:r>
    </w:p>
    <w:p w14:paraId="42FBA9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22A56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1.能独立对牛、羊、猪、犬、猫等常见动物进行规范的临床基本检查，并准确记录检查结果，初步判断健康状况。</w:t>
      </w:r>
    </w:p>
    <w:p w14:paraId="66B3E1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2.能熟练完成血液（静脉采血、动脉采血）、尿液（导尿、集尿）、粪便等标本的采集与初步处理，配合实验室进行基础检测。</w:t>
      </w:r>
    </w:p>
    <w:p w14:paraId="185743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3.能规范实施皮下注射、肌肉注射、静脉注射、腹腔注射、口服给药、外用消毒、止血包扎等常用治疗操作，规避操作风险。</w:t>
      </w:r>
    </w:p>
    <w:p w14:paraId="1902C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能</w:t>
      </w:r>
      <w:r>
        <w:rPr>
          <w:rFonts w:ascii="宋体" w:hAnsi="宋体" w:eastAsia="宋体" w:cs="宋体"/>
          <w:kern w:val="0"/>
          <w:sz w:val="24"/>
          <w:szCs w:val="24"/>
          <w:lang w:val="en-US" w:eastAsia="zh-CN" w:bidi="ar"/>
        </w:rPr>
        <w:t>完成</w:t>
      </w:r>
      <w:r>
        <w:rPr>
          <w:rFonts w:hint="eastAsia" w:ascii="宋体" w:hAnsi="宋体" w:eastAsia="宋体" w:cs="宋体"/>
          <w:kern w:val="0"/>
          <w:sz w:val="24"/>
          <w:szCs w:val="24"/>
          <w:lang w:val="en-US" w:eastAsia="zh-CN" w:bidi="ar"/>
        </w:rPr>
        <w:t>外科手术操作</w:t>
      </w:r>
      <w:r>
        <w:rPr>
          <w:rFonts w:ascii="宋体" w:hAnsi="宋体" w:eastAsia="宋体" w:cs="宋体"/>
          <w:kern w:val="0"/>
          <w:sz w:val="24"/>
          <w:szCs w:val="24"/>
          <w:lang w:val="en-US" w:eastAsia="zh-CN" w:bidi="ar"/>
        </w:rPr>
        <w:t>操作，包括</w:t>
      </w:r>
      <w:r>
        <w:rPr>
          <w:rFonts w:hint="eastAsia" w:ascii="宋体" w:hAnsi="宋体" w:eastAsia="宋体" w:cs="宋体"/>
          <w:kern w:val="0"/>
          <w:sz w:val="24"/>
          <w:szCs w:val="24"/>
          <w:lang w:val="en-US" w:eastAsia="zh-CN" w:bidi="ar"/>
        </w:rPr>
        <w:t>缝合、打结、</w:t>
      </w:r>
      <w:r>
        <w:rPr>
          <w:rFonts w:ascii="宋体" w:hAnsi="宋体" w:eastAsia="宋体" w:cs="宋体"/>
          <w:kern w:val="0"/>
          <w:sz w:val="24"/>
          <w:szCs w:val="24"/>
          <w:lang w:val="en-US" w:eastAsia="zh-CN" w:bidi="ar"/>
        </w:rPr>
        <w:t>皮下注射、肌肉注射、静脉注射、口服给药、外用给药等，准确控制给药剂量，掌握不同给药方式的操作要点及适用场景。</w:t>
      </w:r>
      <w:r>
        <w:rPr>
          <w:rFonts w:hint="eastAsia" w:asciiTheme="minorEastAsia" w:hAnsiTheme="minorEastAsia" w:eastAsiaTheme="minorEastAsia" w:cstheme="minorEastAsia"/>
          <w:sz w:val="24"/>
          <w:szCs w:val="24"/>
          <w:lang w:val="en-US" w:eastAsia="zh-CN"/>
        </w:rPr>
        <w:t>。</w:t>
      </w:r>
    </w:p>
    <w:p w14:paraId="3917A7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5.能规范填写诊疗记录、病历档案，具备良好的职业文书撰写能力。</w:t>
      </w:r>
    </w:p>
    <w:p w14:paraId="783763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529D6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1.树立“以人为本、以动物为中心”的职业理念，具备尊重生命、关爱动物的人文关怀素养。</w:t>
      </w:r>
    </w:p>
    <w:p w14:paraId="72D444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2.养成严谨细致、规范操作的职业习惯，具备高度的责任心和敬业精神。</w:t>
      </w:r>
    </w:p>
    <w:p w14:paraId="421226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3.具备良好的团队协作能力，能与同学、同事分工配合完成诊疗工作，有效沟通诊疗信息。</w:t>
      </w:r>
    </w:p>
    <w:p w14:paraId="6874FE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A6AAF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生命教育：引导学生理解生命的神圣与可贵，树立尊重生命、关爱</w:t>
      </w:r>
      <w:r>
        <w:rPr>
          <w:rFonts w:hint="eastAsia" w:asciiTheme="minorEastAsia" w:hAnsiTheme="minorEastAsia" w:cstheme="minorEastAsia"/>
          <w:sz w:val="24"/>
          <w:szCs w:val="24"/>
          <w:lang w:val="en-US" w:eastAsia="zh-CN"/>
        </w:rPr>
        <w:t>生</w:t>
      </w:r>
      <w:r>
        <w:rPr>
          <w:rFonts w:hint="eastAsia" w:asciiTheme="minorEastAsia" w:hAnsiTheme="minorEastAsia" w:eastAsiaTheme="minorEastAsia" w:cstheme="minorEastAsia"/>
          <w:sz w:val="24"/>
          <w:szCs w:val="24"/>
          <w:lang w:val="en-US" w:eastAsia="zh-CN"/>
        </w:rPr>
        <w:t>物的职业理念，培养仁爱之心。</w:t>
      </w:r>
    </w:p>
    <w:p w14:paraId="0CDC83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 工匠精神：在</w:t>
      </w:r>
      <w:r>
        <w:rPr>
          <w:rFonts w:hint="eastAsia" w:asciiTheme="minorEastAsia" w:hAnsiTheme="minorEastAsia" w:cstheme="minorEastAsia"/>
          <w:sz w:val="24"/>
          <w:szCs w:val="24"/>
          <w:lang w:val="en-US" w:eastAsia="zh-CN"/>
        </w:rPr>
        <w:t>临床诊疗实训</w:t>
      </w:r>
      <w:r>
        <w:rPr>
          <w:rFonts w:hint="eastAsia" w:asciiTheme="minorEastAsia" w:hAnsiTheme="minorEastAsia" w:eastAsiaTheme="minorEastAsia" w:cstheme="minorEastAsia"/>
          <w:sz w:val="24"/>
          <w:szCs w:val="24"/>
          <w:lang w:val="en-US" w:eastAsia="zh-CN"/>
        </w:rPr>
        <w:t>实验中，追求精准、规范、精益求精，培育一丝不苟的工匠品质。</w:t>
      </w:r>
    </w:p>
    <w:p w14:paraId="5005B7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 职业道德：树立“爱岗敬业、诚实守信、遵纪守法”的兽医职业道德观，明确行业行为规范和社会责任。</w:t>
      </w:r>
    </w:p>
    <w:p w14:paraId="47EBCB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 家国情怀：结合我国现代畜牧业发展成就、动物疫病防控重大贡献案例，增强学生的民族自豪感和“学农报国”的使命感。</w:t>
      </w:r>
    </w:p>
    <w:p w14:paraId="7A746C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 生态文明：理解健康养殖、动物福利与生态环境保护的关系，树立绿色、</w:t>
      </w:r>
      <w:r>
        <w:rPr>
          <w:rFonts w:hint="eastAsia" w:asciiTheme="minorEastAsia" w:hAnsiTheme="minorEastAsia" w:cstheme="minorEastAsia"/>
          <w:sz w:val="24"/>
          <w:szCs w:val="24"/>
          <w:lang w:val="en-US" w:eastAsia="zh-CN"/>
        </w:rPr>
        <w:t>环保、健康</w:t>
      </w:r>
      <w:r>
        <w:rPr>
          <w:rFonts w:hint="eastAsia" w:asciiTheme="minorEastAsia" w:hAnsiTheme="minorEastAsia" w:eastAsiaTheme="minorEastAsia" w:cstheme="minorEastAsia"/>
          <w:sz w:val="24"/>
          <w:szCs w:val="24"/>
          <w:lang w:val="en-US" w:eastAsia="zh-CN"/>
        </w:rPr>
        <w:t>可持续发展的理念。</w:t>
      </w:r>
    </w:p>
    <w:p w14:paraId="3251CEF9">
      <w:pPr>
        <w:pStyle w:val="3"/>
        <w:bidi w:val="0"/>
        <w:rPr>
          <w:rFonts w:hint="eastAsia"/>
          <w:lang w:val="en-US" w:eastAsia="zh-CN"/>
        </w:rPr>
      </w:pPr>
      <w:r>
        <w:rPr>
          <w:rFonts w:hint="eastAsia"/>
          <w:lang w:val="en-US" w:eastAsia="zh-CN"/>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81"/>
        <w:gridCol w:w="1715"/>
        <w:gridCol w:w="1617"/>
        <w:gridCol w:w="2058"/>
        <w:gridCol w:w="1178"/>
      </w:tblGrid>
      <w:tr w14:paraId="7E17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0" w:type="pct"/>
            <w:vAlign w:val="center"/>
          </w:tcPr>
          <w:p w14:paraId="57F715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1005" w:type="pct"/>
            <w:vAlign w:val="center"/>
          </w:tcPr>
          <w:p w14:paraId="5BD0AC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870" w:type="pct"/>
            <w:vAlign w:val="center"/>
          </w:tcPr>
          <w:p w14:paraId="2EB9A2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20" w:type="pct"/>
            <w:vAlign w:val="center"/>
          </w:tcPr>
          <w:p w14:paraId="518848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1044" w:type="pct"/>
            <w:vAlign w:val="center"/>
          </w:tcPr>
          <w:p w14:paraId="692ED3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597" w:type="pct"/>
            <w:vAlign w:val="center"/>
          </w:tcPr>
          <w:p w14:paraId="396DDD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1DDD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660" w:type="pct"/>
            <w:vAlign w:val="center"/>
          </w:tcPr>
          <w:p w14:paraId="4393823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项目一</w:t>
            </w:r>
          </w:p>
        </w:tc>
        <w:tc>
          <w:tcPr>
            <w:tcW w:w="1005" w:type="pct"/>
            <w:vAlign w:val="center"/>
          </w:tcPr>
          <w:p w14:paraId="6A9D4616">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各种保定方法和打结方法练习</w:t>
            </w:r>
          </w:p>
        </w:tc>
        <w:tc>
          <w:tcPr>
            <w:tcW w:w="870" w:type="pct"/>
            <w:vAlign w:val="center"/>
          </w:tcPr>
          <w:p w14:paraId="2871521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动物接近与保定。</w:t>
            </w:r>
          </w:p>
        </w:tc>
        <w:tc>
          <w:tcPr>
            <w:tcW w:w="820" w:type="pct"/>
            <w:vAlign w:val="center"/>
          </w:tcPr>
          <w:p w14:paraId="5283F05D">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各种打结方法</w:t>
            </w:r>
          </w:p>
        </w:tc>
        <w:tc>
          <w:tcPr>
            <w:tcW w:w="1044" w:type="pct"/>
            <w:vAlign w:val="center"/>
          </w:tcPr>
          <w:p w14:paraId="170C22AF">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lang w:val="en-US" w:eastAsia="zh-CN"/>
              </w:rPr>
              <w:t>严谨认真、</w:t>
            </w: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48F3D26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6001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31B38039">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项目二</w:t>
            </w:r>
          </w:p>
        </w:tc>
        <w:tc>
          <w:tcPr>
            <w:tcW w:w="1005" w:type="pct"/>
            <w:vAlign w:val="center"/>
          </w:tcPr>
          <w:p w14:paraId="50720566">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犬声带切除术和动物彩超学习、血液采集</w:t>
            </w:r>
          </w:p>
        </w:tc>
        <w:tc>
          <w:tcPr>
            <w:tcW w:w="870" w:type="pct"/>
            <w:vAlign w:val="center"/>
          </w:tcPr>
          <w:p w14:paraId="63A6FEAB">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血液常规检验，血液化学检验</w:t>
            </w:r>
          </w:p>
        </w:tc>
        <w:tc>
          <w:tcPr>
            <w:tcW w:w="820" w:type="pct"/>
            <w:vAlign w:val="center"/>
          </w:tcPr>
          <w:p w14:paraId="609E464B">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完成血液标本采集、红细胞白细胞计数以及血糖、血清脂质、肝功、肾功检查，熟练应用各种特殊检查技术</w:t>
            </w:r>
          </w:p>
        </w:tc>
        <w:tc>
          <w:tcPr>
            <w:tcW w:w="1044" w:type="pct"/>
            <w:vAlign w:val="center"/>
          </w:tcPr>
          <w:p w14:paraId="58833AC9">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055CD244">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42FE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5AFE4EA7">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项目三</w:t>
            </w:r>
          </w:p>
        </w:tc>
        <w:tc>
          <w:tcPr>
            <w:tcW w:w="1005" w:type="pct"/>
            <w:vAlign w:val="center"/>
          </w:tcPr>
          <w:p w14:paraId="55600461">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临床基本检查方法的应用</w:t>
            </w:r>
          </w:p>
        </w:tc>
        <w:tc>
          <w:tcPr>
            <w:tcW w:w="870" w:type="pct"/>
            <w:vAlign w:val="center"/>
          </w:tcPr>
          <w:p w14:paraId="07F8F5A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临床检查基本方法与程序，一般临床检查，各系统临床检查</w:t>
            </w:r>
          </w:p>
        </w:tc>
        <w:tc>
          <w:tcPr>
            <w:tcW w:w="820" w:type="pct"/>
            <w:vAlign w:val="center"/>
          </w:tcPr>
          <w:p w14:paraId="7070653D">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完成动物常规临床检查，包括体温、脉搏、呼吸、被毛、精神状态眼结膜、淋巴结等。</w:t>
            </w:r>
          </w:p>
        </w:tc>
        <w:tc>
          <w:tcPr>
            <w:tcW w:w="1044" w:type="pct"/>
            <w:vAlign w:val="center"/>
          </w:tcPr>
          <w:p w14:paraId="4D70760E">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求真务实、严谨细致、勇于探索的科学精神</w:t>
            </w:r>
          </w:p>
        </w:tc>
        <w:tc>
          <w:tcPr>
            <w:tcW w:w="597" w:type="pct"/>
            <w:vAlign w:val="center"/>
          </w:tcPr>
          <w:p w14:paraId="06432163">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r w14:paraId="25D3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07BBCF6A">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项目四</w:t>
            </w:r>
          </w:p>
        </w:tc>
        <w:tc>
          <w:tcPr>
            <w:tcW w:w="1005" w:type="pct"/>
            <w:vAlign w:val="center"/>
          </w:tcPr>
          <w:p w14:paraId="1DE9D23A">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外科手术基本操作技术实训</w:t>
            </w:r>
          </w:p>
        </w:tc>
        <w:tc>
          <w:tcPr>
            <w:tcW w:w="870" w:type="pct"/>
            <w:vAlign w:val="center"/>
          </w:tcPr>
          <w:p w14:paraId="4318FC03">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对不同外伤进行正确处理</w:t>
            </w:r>
          </w:p>
        </w:tc>
        <w:tc>
          <w:tcPr>
            <w:tcW w:w="820" w:type="pct"/>
            <w:vAlign w:val="center"/>
          </w:tcPr>
          <w:p w14:paraId="285637B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能完成外科手术的各项操作：缝合、止血、包扎等</w:t>
            </w:r>
          </w:p>
        </w:tc>
        <w:tc>
          <w:tcPr>
            <w:tcW w:w="1044" w:type="pct"/>
            <w:vAlign w:val="center"/>
          </w:tcPr>
          <w:p w14:paraId="5B0E2893">
            <w:pPr>
              <w:jc w:val="center"/>
              <w:rPr>
                <w:rFonts w:hint="default"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求真务实、严谨细致</w:t>
            </w:r>
            <w:r>
              <w:rPr>
                <w:rFonts w:hint="eastAsia" w:asciiTheme="minorEastAsia" w:hAnsiTheme="minorEastAsia" w:cstheme="minorEastAsia"/>
                <w:sz w:val="21"/>
                <w:szCs w:val="21"/>
                <w:lang w:val="en-US" w:eastAsia="zh-CN"/>
              </w:rPr>
              <w:t>的工作精神</w:t>
            </w:r>
          </w:p>
        </w:tc>
        <w:tc>
          <w:tcPr>
            <w:tcW w:w="597" w:type="pct"/>
            <w:vAlign w:val="center"/>
          </w:tcPr>
          <w:p w14:paraId="0E57B810">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6</w:t>
            </w:r>
          </w:p>
        </w:tc>
      </w:tr>
      <w:tr w14:paraId="1EBC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14:paraId="29548E2A">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项目五</w:t>
            </w:r>
          </w:p>
        </w:tc>
        <w:tc>
          <w:tcPr>
            <w:tcW w:w="1005" w:type="pct"/>
            <w:vAlign w:val="center"/>
          </w:tcPr>
          <w:p w14:paraId="32F25E86">
            <w:pPr>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vertAlign w:val="baseline"/>
                <w:lang w:val="en-US" w:eastAsia="zh-CN"/>
              </w:rPr>
              <w:t>撰写实训报告，小组评价</w:t>
            </w:r>
          </w:p>
        </w:tc>
        <w:tc>
          <w:tcPr>
            <w:tcW w:w="870" w:type="pct"/>
            <w:vAlign w:val="center"/>
          </w:tcPr>
          <w:p w14:paraId="4139F35C">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撰写病历记录，形成病历档案，形成报告</w:t>
            </w:r>
          </w:p>
        </w:tc>
        <w:tc>
          <w:tcPr>
            <w:tcW w:w="820" w:type="pct"/>
            <w:vAlign w:val="center"/>
          </w:tcPr>
          <w:p w14:paraId="75E52495">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能对操作进行完整、细致、重点总结</w:t>
            </w:r>
          </w:p>
        </w:tc>
        <w:tc>
          <w:tcPr>
            <w:tcW w:w="1044" w:type="pct"/>
            <w:vAlign w:val="center"/>
          </w:tcPr>
          <w:p w14:paraId="691D4CC2">
            <w:pPr>
              <w:jc w:val="center"/>
              <w:rPr>
                <w:rFonts w:hint="eastAsia" w:ascii="Arial" w:hAnsi="Arial" w:eastAsia="宋体" w:cs="Arial"/>
                <w:color w:val="auto"/>
                <w:sz w:val="21"/>
                <w:szCs w:val="21"/>
                <w:lang w:val="en-US" w:eastAsia="zh-CN"/>
              </w:rPr>
            </w:pPr>
            <w:r>
              <w:rPr>
                <w:rFonts w:hint="eastAsia" w:asciiTheme="minorEastAsia" w:hAnsiTheme="minorEastAsia" w:eastAsiaTheme="minorEastAsia" w:cstheme="minorEastAsia"/>
                <w:sz w:val="21"/>
                <w:szCs w:val="21"/>
                <w:lang w:val="en-US" w:eastAsia="zh-CN"/>
              </w:rPr>
              <w:t>精益求精</w:t>
            </w:r>
            <w:r>
              <w:rPr>
                <w:rFonts w:hint="eastAsia" w:asciiTheme="minorEastAsia" w:hAnsiTheme="minorEastAsia" w:cstheme="minorEastAsia"/>
                <w:sz w:val="21"/>
                <w:szCs w:val="21"/>
                <w:lang w:val="en-US" w:eastAsia="zh-CN"/>
              </w:rPr>
              <w:t>的</w:t>
            </w:r>
            <w:r>
              <w:rPr>
                <w:rFonts w:hint="eastAsia" w:ascii="Arial" w:hAnsi="Arial" w:eastAsia="宋体" w:cs="Arial"/>
                <w:color w:val="auto"/>
                <w:sz w:val="21"/>
                <w:szCs w:val="21"/>
                <w:lang w:val="en-US" w:eastAsia="zh-CN"/>
              </w:rPr>
              <w:t>工匠精神</w:t>
            </w:r>
          </w:p>
        </w:tc>
        <w:tc>
          <w:tcPr>
            <w:tcW w:w="597" w:type="pct"/>
            <w:vAlign w:val="center"/>
          </w:tcPr>
          <w:p w14:paraId="5F328A12">
            <w:pPr>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4</w:t>
            </w:r>
          </w:p>
        </w:tc>
      </w:tr>
    </w:tbl>
    <w:p w14:paraId="6FA99BA6">
      <w:pPr>
        <w:pStyle w:val="3"/>
        <w:bidi w:val="0"/>
        <w:rPr>
          <w:rFonts w:hint="eastAsia"/>
          <w:lang w:val="en-US" w:eastAsia="zh-CN"/>
        </w:rPr>
      </w:pPr>
      <w:r>
        <w:rPr>
          <w:rFonts w:hint="eastAsia"/>
          <w:lang w:val="en-US" w:eastAsia="zh-CN"/>
        </w:rPr>
        <w:t>六、课程考核与评价</w:t>
      </w:r>
    </w:p>
    <w:p w14:paraId="5A2114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CC2D2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2453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70E73B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EFFE4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01356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6CC46D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9D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CBBE9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0D142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5B249767">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6873DB6">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3540" w:type="dxa"/>
            <w:tcBorders>
              <w:left w:val="single" w:color="auto" w:sz="4" w:space="0"/>
              <w:right w:val="single" w:color="auto" w:sz="4" w:space="0"/>
            </w:tcBorders>
            <w:vAlign w:val="center"/>
          </w:tcPr>
          <w:p w14:paraId="5DBBC3B9">
            <w:pPr>
              <w:rPr>
                <w:rFonts w:hint="eastAsia" w:ascii="Arial" w:hAnsi="Arial" w:eastAsia="宋体" w:cs="Arial"/>
                <w:color w:val="auto"/>
                <w:lang w:val="en-US" w:eastAsia="zh-CN"/>
              </w:rPr>
            </w:pPr>
            <w:r>
              <w:rPr>
                <w:rFonts w:hint="eastAsia" w:ascii="Arial" w:hAnsi="Arial" w:eastAsia="宋体" w:cs="Arial"/>
                <w:color w:val="auto"/>
                <w:lang w:val="en-US" w:eastAsia="zh-CN"/>
              </w:rPr>
              <w:t>依据出勤情况、课堂提问与讨论参与度、平时作业完成质量进行评分</w:t>
            </w:r>
          </w:p>
        </w:tc>
      </w:tr>
      <w:tr w14:paraId="2909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9BC439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DC60F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3D301B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9BD76B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3540" w:type="dxa"/>
            <w:tcBorders>
              <w:left w:val="single" w:color="auto" w:sz="4" w:space="0"/>
              <w:right w:val="single" w:color="auto" w:sz="4" w:space="0"/>
            </w:tcBorders>
            <w:vAlign w:val="center"/>
          </w:tcPr>
          <w:p w14:paraId="1D6C39F1">
            <w:pP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4B1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50E0F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990C3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7C91FF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以技能操作和组织器官认知的方式进行</w:t>
            </w:r>
          </w:p>
        </w:tc>
        <w:tc>
          <w:tcPr>
            <w:tcW w:w="1311" w:type="dxa"/>
            <w:tcBorders>
              <w:left w:val="single" w:color="auto" w:sz="4" w:space="0"/>
              <w:right w:val="single" w:color="auto" w:sz="4" w:space="0"/>
            </w:tcBorders>
            <w:vAlign w:val="center"/>
          </w:tcPr>
          <w:p w14:paraId="2BACBE7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3A8F7A7">
            <w:pP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以学生动手能力和关键解剖操作技能、组织器官认识的能力进行考核</w:t>
            </w:r>
          </w:p>
        </w:tc>
      </w:tr>
      <w:tr w14:paraId="2D8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707C2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9CE4B6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1AD6C04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13B752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EBC8301">
      <w:pPr>
        <w:pStyle w:val="3"/>
        <w:bidi w:val="0"/>
        <w:rPr>
          <w:rFonts w:hint="eastAsia"/>
          <w:lang w:val="en-US" w:eastAsia="zh-CN"/>
        </w:rPr>
      </w:pPr>
      <w:r>
        <w:rPr>
          <w:rFonts w:hint="eastAsia"/>
          <w:lang w:val="en-US" w:eastAsia="zh-CN"/>
        </w:rPr>
        <w:t>七、课程实施与保障</w:t>
      </w:r>
    </w:p>
    <w:p w14:paraId="7788EB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5F508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本课程建议采用理实一体化教学、项目导向、案例教学、探究式学习等方法。运用线上线下混合式教学模式，利用在线课程平台（如学习通、智慧职教等）进行先导预习、结合使用微课视频、虚拟仿真实验、在线测试等资源，辅助课前预习和课后拓展。课堂内强调互动与实操，通过小组合作学习、角色扮演、虚拟仿真实训等形式，提高学生学习主动性和实践能力。</w:t>
      </w:r>
    </w:p>
    <w:p w14:paraId="6BA766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6F7A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热爱生命、强农兴牧、科学报国”的课程思政主线。通过临床诊疗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0E1BAB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18D94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C0BB1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应具备畜牧兽医相关专业硕士及以上学历或中级以上职称，具有“双师”素质，有临床诊疗相关教学经验与实践经历。鼓励聘请行业企业资深兽医、技术专家担任兼职教师，承担部分实践教学或讲座。团队结构（职称、年龄、专兼职）合理。</w:t>
      </w:r>
    </w:p>
    <w:p w14:paraId="24F902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107C8C8">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多媒体理论教室：配备投影、音响等设备，支持多媒体教学。</w:t>
      </w:r>
    </w:p>
    <w:p w14:paraId="7CA14A8D">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教学做一体化实训室：配备投影、音响等设备，和相关实验器材。</w:t>
      </w:r>
    </w:p>
    <w:p w14:paraId="3EE57FEA">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动物解剖实验室：操作台，临床检查相关器械。符合生物安全与废弃物处理要求。</w:t>
      </w:r>
    </w:p>
    <w:p w14:paraId="2545AC2D">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显微互动实验室：配备显微镜、显微成像系统、病理切片等。</w:t>
      </w:r>
    </w:p>
    <w:p w14:paraId="04157ECD">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虚拟仿真实训室：安装临床手术虚拟仿真软件。</w:t>
      </w:r>
    </w:p>
    <w:p w14:paraId="3E4A3C26">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校外实践基地：与规范化养殖场、动物医院、屠宰检疫企业等建立合作关系，供学生参观、见习。</w:t>
      </w:r>
    </w:p>
    <w:p w14:paraId="6415D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DDF4D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（1）基本教学资源：课程标准、授课计划、教案、课件、习题集、实验指导书、参考书、考核方案等。</w:t>
      </w:r>
    </w:p>
    <w:p w14:paraId="7E0713EA">
      <w:pPr>
        <w:keepNext w:val="0"/>
        <w:keepLines w:val="0"/>
        <w:pageBreakBefore w:val="0"/>
        <w:widowControl w:val="0"/>
        <w:numPr>
          <w:ilvl w:val="0"/>
          <w:numId w:val="3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数字教学资源：建设或选用精品在线开放课程资源库；开发或收集高质量微课视频、三维动画、虚拟仿真实验项目；建立标本、切片数字图像库；利用专业数据库、学术网站链接拓展学习资源。</w:t>
      </w:r>
    </w:p>
    <w:p w14:paraId="0C295D95">
      <w:pPr>
        <w:rPr>
          <w:rFonts w:hint="eastAsia" w:ascii="宋体" w:hAnsi="宋体" w:eastAsia="宋体" w:cs="宋体"/>
          <w:sz w:val="24"/>
          <w:szCs w:val="24"/>
          <w:lang w:val="en-US" w:eastAsia="zh-CN"/>
        </w:rPr>
      </w:pPr>
    </w:p>
    <w:p w14:paraId="2F8EF213">
      <w:pPr>
        <w:rPr>
          <w:rFonts w:hint="eastAsia" w:ascii="宋体" w:hAnsi="宋体" w:eastAsia="宋体" w:cs="宋体"/>
          <w:sz w:val="24"/>
          <w:szCs w:val="24"/>
          <w:lang w:val="en-US" w:eastAsia="zh-CN"/>
        </w:rPr>
      </w:pPr>
    </w:p>
    <w:p w14:paraId="1A1C1ABE">
      <w:pPr>
        <w:rPr>
          <w:rFonts w:hint="eastAsia" w:ascii="宋体" w:hAnsi="宋体" w:eastAsia="宋体" w:cs="宋体"/>
          <w:sz w:val="24"/>
          <w:szCs w:val="24"/>
          <w:lang w:val="en-US" w:eastAsia="zh-CN"/>
        </w:rPr>
      </w:pPr>
    </w:p>
    <w:p w14:paraId="47476DB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5DCD73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20D9A9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6B09B2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42E5B6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0D675E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3E6B3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A70585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B1FFF5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4739A0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B6548F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E77B8A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2E83B6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CB69BA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1C2371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5D83427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313092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766428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A0AA75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70F20F5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2A109E17">
      <w:pPr>
        <w:rPr>
          <w:rFonts w:hint="eastAsia"/>
          <w:lang w:val="en-US" w:eastAsia="zh-CN"/>
        </w:rPr>
      </w:pPr>
      <w:bookmarkStart w:id="66" w:name="_Toc31650"/>
      <w:r>
        <w:rPr>
          <w:rFonts w:hint="eastAsia"/>
          <w:lang w:val="en-US" w:eastAsia="zh-CN"/>
        </w:rPr>
        <w:br w:type="page"/>
      </w:r>
    </w:p>
    <w:p w14:paraId="1A794895">
      <w:pPr>
        <w:pStyle w:val="2"/>
        <w:bidi w:val="0"/>
        <w:rPr>
          <w:rFonts w:hint="eastAsia"/>
          <w:lang w:val="en-US" w:eastAsia="zh-CN"/>
        </w:rPr>
      </w:pPr>
      <w:bookmarkStart w:id="67" w:name="_Toc10830"/>
      <w:r>
        <w:rPr>
          <w:rFonts w:hint="eastAsia"/>
          <w:lang w:val="en-US" w:eastAsia="zh-CN"/>
        </w:rPr>
        <w:t>《岗位实习一》课程标准</w:t>
      </w:r>
      <w:bookmarkEnd w:id="66"/>
      <w:bookmarkEnd w:id="67"/>
    </w:p>
    <w:p w14:paraId="6E1265DF">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8"/>
        <w:gridCol w:w="1724"/>
        <w:gridCol w:w="1124"/>
        <w:gridCol w:w="920"/>
        <w:gridCol w:w="3298"/>
      </w:tblGrid>
      <w:tr w14:paraId="4EBE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82F6A6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095" w:type="dxa"/>
            <w:gridSpan w:val="3"/>
            <w:tcBorders>
              <w:top w:val="single" w:color="auto" w:sz="4" w:space="0"/>
              <w:left w:val="single" w:color="auto" w:sz="4" w:space="0"/>
              <w:bottom w:val="single" w:color="auto" w:sz="4" w:space="0"/>
              <w:right w:val="single" w:color="auto" w:sz="4" w:space="0"/>
            </w:tcBorders>
            <w:vAlign w:val="center"/>
          </w:tcPr>
          <w:p w14:paraId="524017C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highlight w:val="none"/>
                <w:lang w:val="en-US" w:eastAsia="zh-CN"/>
              </w:rPr>
              <w:t>岗位实习</w:t>
            </w:r>
          </w:p>
        </w:tc>
        <w:tc>
          <w:tcPr>
            <w:tcW w:w="851" w:type="dxa"/>
            <w:tcBorders>
              <w:top w:val="single" w:color="auto" w:sz="4" w:space="0"/>
              <w:left w:val="single" w:color="auto" w:sz="4" w:space="0"/>
              <w:bottom w:val="single" w:color="auto" w:sz="4" w:space="0"/>
              <w:right w:val="single" w:color="auto" w:sz="4" w:space="0"/>
            </w:tcBorders>
            <w:vAlign w:val="center"/>
          </w:tcPr>
          <w:p w14:paraId="5859C1DD">
            <w:pPr>
              <w:pStyle w:val="16"/>
              <w:spacing w:before="0" w:beforeAutospacing="0" w:after="0" w:afterAutospacing="0"/>
              <w:ind w:right="-117" w:rightChars="0"/>
              <w:jc w:val="center"/>
              <w:rPr>
                <w:rFonts w:ascii="宋体" w:hAnsi="宋体" w:eastAsia="宋体"/>
                <w:b/>
                <w:bCs/>
                <w:color w:val="auto"/>
                <w:sz w:val="21"/>
                <w:szCs w:val="21"/>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0569919">
            <w:pPr>
              <w:pStyle w:val="16"/>
              <w:spacing w:before="0" w:beforeAutospacing="0" w:after="0" w:afterAutospacing="0"/>
              <w:ind w:right="-145" w:rightChars="0"/>
              <w:jc w:val="center"/>
              <w:rPr>
                <w:rFonts w:hint="default" w:ascii="宋体" w:hAnsi="宋体" w:eastAsia="宋体"/>
                <w:color w:val="FF0000"/>
                <w:sz w:val="21"/>
                <w:szCs w:val="21"/>
                <w:lang w:val="en-US" w:eastAsia="zh-CN"/>
              </w:rPr>
            </w:pPr>
            <w:r>
              <w:rPr>
                <w:rFonts w:hint="eastAsia" w:ascii="宋体" w:hAnsi="宋体" w:eastAsia="宋体"/>
                <w:color w:val="auto"/>
                <w:sz w:val="21"/>
                <w:szCs w:val="21"/>
                <w:highlight w:val="none"/>
                <w:lang w:val="en-US" w:eastAsia="zh-CN"/>
              </w:rPr>
              <w:t>xcxm2403501</w:t>
            </w:r>
          </w:p>
        </w:tc>
      </w:tr>
      <w:tr w14:paraId="6579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0FAE77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0" w:type="dxa"/>
            <w:tcBorders>
              <w:top w:val="single" w:color="auto" w:sz="4" w:space="0"/>
              <w:left w:val="single" w:color="auto" w:sz="4" w:space="0"/>
              <w:bottom w:val="single" w:color="auto" w:sz="4" w:space="0"/>
              <w:right w:val="single" w:color="auto" w:sz="4" w:space="0"/>
            </w:tcBorders>
            <w:vAlign w:val="top"/>
          </w:tcPr>
          <w:p w14:paraId="726462D0">
            <w:pPr>
              <w:jc w:val="center"/>
              <w:rPr>
                <w:rFonts w:hint="default" w:eastAsiaTheme="minorEastAsia"/>
                <w:lang w:val="en-US" w:eastAsia="zh-CN"/>
              </w:rPr>
            </w:pPr>
            <w:r>
              <w:rPr>
                <w:rFonts w:hint="eastAsia"/>
                <w:color w:val="auto"/>
                <w:highlight w:val="none"/>
                <w:lang w:val="en-US" w:eastAsia="zh-CN"/>
              </w:rPr>
              <w:t>286学时</w:t>
            </w:r>
          </w:p>
        </w:tc>
        <w:tc>
          <w:tcPr>
            <w:tcW w:w="1595" w:type="dxa"/>
            <w:tcBorders>
              <w:top w:val="single" w:color="auto" w:sz="4" w:space="0"/>
              <w:left w:val="single" w:color="auto" w:sz="4" w:space="0"/>
              <w:bottom w:val="single" w:color="auto" w:sz="4" w:space="0"/>
              <w:right w:val="single" w:color="auto" w:sz="4" w:space="0"/>
            </w:tcBorders>
            <w:vAlign w:val="top"/>
          </w:tcPr>
          <w:p w14:paraId="6875E032">
            <w:pPr>
              <w:jc w:val="both"/>
              <w:rPr>
                <w:rFonts w:hint="eastAsia"/>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1040" w:type="dxa"/>
            <w:tcBorders>
              <w:top w:val="single" w:color="auto" w:sz="4" w:space="0"/>
              <w:left w:val="single" w:color="auto" w:sz="4" w:space="0"/>
              <w:bottom w:val="single" w:color="auto" w:sz="4" w:space="0"/>
              <w:right w:val="single" w:color="auto" w:sz="4" w:space="0"/>
            </w:tcBorders>
            <w:vAlign w:val="top"/>
          </w:tcPr>
          <w:p w14:paraId="49B12BD4">
            <w:pPr>
              <w:jc w:val="center"/>
              <w:rPr>
                <w:rFonts w:hint="eastAsia"/>
                <w:lang w:val="en-US" w:eastAsia="zh-CN"/>
              </w:rPr>
            </w:pPr>
            <w:r>
              <w:rPr>
                <w:rFonts w:hint="eastAsia"/>
                <w:color w:val="auto"/>
                <w:highlight w:val="none"/>
                <w:lang w:val="en-US" w:eastAsia="zh-CN"/>
              </w:rPr>
              <w:t>286学时</w:t>
            </w:r>
          </w:p>
        </w:tc>
        <w:tc>
          <w:tcPr>
            <w:tcW w:w="851" w:type="dxa"/>
            <w:tcBorders>
              <w:top w:val="single" w:color="auto" w:sz="4" w:space="0"/>
              <w:left w:val="single" w:color="auto" w:sz="4" w:space="0"/>
              <w:bottom w:val="single" w:color="auto" w:sz="4" w:space="0"/>
              <w:right w:val="single" w:color="auto" w:sz="4" w:space="0"/>
            </w:tcBorders>
            <w:vAlign w:val="center"/>
          </w:tcPr>
          <w:p w14:paraId="660BEDD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EF5275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highlight w:val="none"/>
                <w:lang w:val="en-US" w:eastAsia="zh-CN" w:bidi="ar-SA"/>
              </w:rPr>
              <w:t>5.5学分</w:t>
            </w:r>
          </w:p>
        </w:tc>
      </w:tr>
      <w:tr w14:paraId="0045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D8C443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vAlign w:val="top"/>
          </w:tcPr>
          <w:p w14:paraId="1595494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5604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B90E27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095" w:type="dxa"/>
            <w:gridSpan w:val="3"/>
            <w:tcBorders>
              <w:top w:val="single" w:color="auto" w:sz="4" w:space="0"/>
              <w:left w:val="single" w:color="auto" w:sz="4" w:space="0"/>
              <w:right w:val="single" w:color="auto" w:sz="4" w:space="0"/>
            </w:tcBorders>
            <w:vAlign w:val="top"/>
          </w:tcPr>
          <w:p w14:paraId="55D765F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Arial" w:hAnsi="Arial" w:eastAsia="宋体" w:cs="Arial"/>
                <w:color w:val="auto"/>
                <w:highlight w:val="none"/>
                <w:lang w:val="en-US" w:eastAsia="zh-CN"/>
              </w:rPr>
              <w:t>专业基础课</w:t>
            </w:r>
            <w:r>
              <w:rPr>
                <w:rFonts w:hint="eastAsia"/>
                <w:color w:val="auto"/>
                <w:highlight w:val="none"/>
              </w:rPr>
              <w:t>□</w:t>
            </w:r>
            <w:r>
              <w:rPr>
                <w:rFonts w:hint="eastAsia"/>
                <w:color w:val="auto"/>
                <w:highlight w:val="none"/>
                <w:lang w:val="en-US" w:eastAsia="zh-CN"/>
              </w:rPr>
              <w:t>专业核心课</w:t>
            </w:r>
            <w:r>
              <w:rPr>
                <w:rFonts w:hint="eastAsia"/>
                <w:color w:val="auto"/>
                <w:highlight w:val="none"/>
              </w:rPr>
              <w:t>□</w:t>
            </w:r>
            <w:r>
              <w:rPr>
                <w:rFonts w:hint="eastAsia"/>
                <w:color w:val="auto"/>
                <w:highlight w:val="none"/>
                <w:lang w:val="en-US" w:eastAsia="zh-CN"/>
              </w:rPr>
              <w:t>专业选修课</w:t>
            </w:r>
            <w:r>
              <w:rPr>
                <w:rFonts w:hint="eastAsia"/>
                <w:color w:val="auto"/>
                <w:highlight w:val="none"/>
                <w:lang w:eastAsia="zh-CN"/>
              </w:rPr>
              <w:t>☑</w:t>
            </w:r>
            <w:r>
              <w:rPr>
                <w:rFonts w:hint="eastAsia"/>
                <w:color w:val="auto"/>
                <w:highlight w:val="none"/>
                <w:lang w:val="en-US" w:eastAsia="zh-CN"/>
              </w:rPr>
              <w:t>专业技能课</w:t>
            </w:r>
          </w:p>
        </w:tc>
        <w:tc>
          <w:tcPr>
            <w:tcW w:w="851" w:type="dxa"/>
            <w:tcBorders>
              <w:top w:val="single" w:color="auto" w:sz="4" w:space="0"/>
              <w:left w:val="single" w:color="auto" w:sz="4" w:space="0"/>
              <w:bottom w:val="single" w:color="auto" w:sz="4" w:space="0"/>
              <w:right w:val="single" w:color="auto" w:sz="4" w:space="0"/>
            </w:tcBorders>
            <w:vAlign w:val="center"/>
          </w:tcPr>
          <w:p w14:paraId="52C622D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F96C063">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理论课</w:t>
            </w: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理实一体</w:t>
            </w:r>
          </w:p>
          <w:p w14:paraId="05DAA0E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集中性实践环节</w:t>
            </w:r>
          </w:p>
        </w:tc>
      </w:tr>
      <w:tr w14:paraId="7282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CDF10D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1B1EABB">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bCs/>
                <w:color w:val="auto"/>
                <w:sz w:val="21"/>
                <w:szCs w:val="21"/>
                <w:highlight w:val="none"/>
                <w:lang w:val="en-US" w:eastAsia="zh-CN"/>
              </w:rPr>
              <w:t>养禽与禽病防治实训养猪与猪病防治实训动物临床诊疗实训畜牧基础综合实训</w:t>
            </w:r>
          </w:p>
        </w:tc>
      </w:tr>
      <w:tr w14:paraId="7DB4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6417A1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7C9BDC6">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highlight w:val="none"/>
                <w:lang w:val="en-US" w:eastAsia="zh-CN"/>
              </w:rPr>
              <w:t>无（为毕业前综合实践环节）</w:t>
            </w:r>
          </w:p>
        </w:tc>
      </w:tr>
      <w:tr w14:paraId="1073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698D77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33BF0E8">
            <w:pPr>
              <w:jc w:val="center"/>
              <w:rPr>
                <w:rFonts w:ascii="Arial" w:hAnsi="Arial" w:eastAsia="宋体" w:cs="Arial"/>
                <w:kern w:val="2"/>
                <w:sz w:val="21"/>
                <w:szCs w:val="24"/>
                <w:lang w:val="en-US" w:eastAsia="zh-CN" w:bidi="ar-SA"/>
              </w:rPr>
            </w:pPr>
            <w:r>
              <w:rPr>
                <w:rFonts w:hint="eastAsia" w:ascii="宋体" w:hAnsi="宋体" w:eastAsia="宋体" w:cs="Arial Unicode MS"/>
                <w:bCs/>
                <w:color w:val="auto"/>
                <w:kern w:val="0"/>
                <w:sz w:val="21"/>
                <w:szCs w:val="21"/>
                <w:highlight w:val="none"/>
                <w:lang w:val="en-US" w:eastAsia="zh-CN" w:bidi="ar-SA"/>
              </w:rPr>
              <w:t>无指定教材，以企业岗位操作规程、生产技术手册为核心教学资料</w:t>
            </w:r>
          </w:p>
        </w:tc>
      </w:tr>
      <w:tr w14:paraId="1E21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754724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095" w:type="dxa"/>
            <w:gridSpan w:val="3"/>
            <w:tcBorders>
              <w:top w:val="single" w:color="auto" w:sz="4" w:space="0"/>
              <w:left w:val="single" w:color="auto" w:sz="4" w:space="0"/>
              <w:right w:val="single" w:color="auto" w:sz="4" w:space="0"/>
            </w:tcBorders>
            <w:vAlign w:val="top"/>
          </w:tcPr>
          <w:p w14:paraId="05C80E9F">
            <w:pPr>
              <w:widowControl/>
              <w:jc w:val="center"/>
              <w:rPr>
                <w:rFonts w:hint="eastAsia"/>
              </w:rPr>
            </w:pPr>
            <w:r>
              <w:rPr>
                <w:rFonts w:hint="eastAsia"/>
                <w:color w:val="auto"/>
                <w:highlight w:val="none"/>
                <w:lang w:val="en-US" w:eastAsia="zh-CN"/>
              </w:rPr>
              <w:t>谭聪</w:t>
            </w:r>
          </w:p>
        </w:tc>
        <w:tc>
          <w:tcPr>
            <w:tcW w:w="851" w:type="dxa"/>
            <w:tcBorders>
              <w:top w:val="single" w:color="auto" w:sz="4" w:space="0"/>
              <w:left w:val="single" w:color="auto" w:sz="4" w:space="0"/>
              <w:bottom w:val="single" w:color="auto" w:sz="4" w:space="0"/>
              <w:right w:val="single" w:color="auto" w:sz="4" w:space="0"/>
            </w:tcBorders>
            <w:vAlign w:val="center"/>
          </w:tcPr>
          <w:p w14:paraId="314C482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CD577F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3093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8D2E97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095" w:type="dxa"/>
            <w:gridSpan w:val="3"/>
            <w:tcBorders>
              <w:top w:val="single" w:color="auto" w:sz="4" w:space="0"/>
              <w:left w:val="single" w:color="auto" w:sz="4" w:space="0"/>
              <w:right w:val="single" w:color="auto" w:sz="4" w:space="0"/>
            </w:tcBorders>
            <w:vAlign w:val="top"/>
          </w:tcPr>
          <w:p w14:paraId="3737D506">
            <w:pPr>
              <w:widowControl/>
              <w:jc w:val="center"/>
              <w:rPr>
                <w:rFonts w:hint="eastAsia"/>
              </w:rPr>
            </w:pPr>
            <w:r>
              <w:rPr>
                <w:rFonts w:hint="eastAsia"/>
                <w:sz w:val="21"/>
                <w:szCs w:val="21"/>
                <w:lang w:val="en-US" w:eastAsia="zh-CN"/>
              </w:rPr>
              <w:t>谭聪</w:t>
            </w:r>
          </w:p>
        </w:tc>
        <w:tc>
          <w:tcPr>
            <w:tcW w:w="851" w:type="dxa"/>
            <w:tcBorders>
              <w:top w:val="single" w:color="auto" w:sz="4" w:space="0"/>
              <w:left w:val="single" w:color="auto" w:sz="4" w:space="0"/>
              <w:bottom w:val="single" w:color="auto" w:sz="4" w:space="0"/>
              <w:right w:val="single" w:color="auto" w:sz="4" w:space="0"/>
            </w:tcBorders>
            <w:vAlign w:val="center"/>
          </w:tcPr>
          <w:p w14:paraId="3B1750EA">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3B4DA0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rPr>
              <w:t>2025年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2B36D75D">
      <w:pPr>
        <w:pStyle w:val="3"/>
        <w:bidi w:val="0"/>
        <w:rPr>
          <w:rFonts w:hint="eastAsia"/>
          <w:lang w:val="en-US" w:eastAsia="zh-CN"/>
        </w:rPr>
      </w:pPr>
      <w:r>
        <w:rPr>
          <w:rFonts w:hint="eastAsia"/>
          <w:lang w:val="en-US" w:eastAsia="zh-CN"/>
        </w:rPr>
        <w:t>二、课程定位</w:t>
      </w:r>
    </w:p>
    <w:p w14:paraId="5316CE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必修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岗位实习一</w:t>
      </w:r>
      <w:r>
        <w:rPr>
          <w:rFonts w:hint="eastAsia" w:asciiTheme="minorEastAsia" w:hAnsiTheme="minorEastAsia" w:eastAsiaTheme="minorEastAsia" w:cstheme="minorEastAsia"/>
          <w:sz w:val="24"/>
          <w:szCs w:val="24"/>
          <w:lang w:val="en-US" w:eastAsia="zh-CN"/>
        </w:rPr>
        <w:t>基础上开设的一门</w:t>
      </w:r>
      <w:r>
        <w:rPr>
          <w:rFonts w:hint="eastAsia" w:asciiTheme="minorEastAsia" w:hAnsiTheme="minorEastAsia" w:cstheme="minorEastAsia"/>
          <w:sz w:val="24"/>
          <w:szCs w:val="24"/>
          <w:lang w:val="en-US" w:eastAsia="zh-CN"/>
        </w:rPr>
        <w:t>生产岗位</w:t>
      </w:r>
      <w:r>
        <w:rPr>
          <w:rFonts w:hint="eastAsia" w:asciiTheme="minorEastAsia" w:hAnsiTheme="minorEastAsia" w:eastAsiaTheme="minorEastAsia" w:cstheme="minorEastAsia"/>
          <w:sz w:val="24"/>
          <w:szCs w:val="24"/>
          <w:lang w:val="en-US" w:eastAsia="zh-CN"/>
        </w:rPr>
        <w:t>实践的课程，对接专业人才培养目标，面向</w:t>
      </w:r>
      <w:r>
        <w:rPr>
          <w:rFonts w:hint="eastAsia" w:asciiTheme="minorEastAsia" w:hAnsiTheme="minorEastAsia" w:cstheme="minorEastAsia"/>
          <w:sz w:val="24"/>
          <w:szCs w:val="24"/>
          <w:lang w:val="en-US" w:eastAsia="zh-CN"/>
        </w:rPr>
        <w:t>临床兽医、畜牧养殖、饲料生产</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职业素质。同时，将课程思政内容融入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7F82A0BE">
      <w:pPr>
        <w:pStyle w:val="3"/>
        <w:bidi w:val="0"/>
        <w:rPr>
          <w:rFonts w:hint="eastAsia"/>
          <w:lang w:val="en-US" w:eastAsia="zh-CN"/>
        </w:rPr>
      </w:pPr>
      <w:r>
        <w:rPr>
          <w:rFonts w:hint="eastAsia"/>
          <w:lang w:val="en-US" w:eastAsia="zh-CN"/>
        </w:rPr>
        <w:t>三、课程设计思路</w:t>
      </w:r>
    </w:p>
    <w:p w14:paraId="10B436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本课程立足畜牧兽医行业岗位需求，以“岗课赛证”融合为导向，坚持“实践育人、思政铸魂”的原则，构建“校企双主体育人、岗位真实历练、能力逐级提升”的实习课程体系。</w:t>
      </w:r>
    </w:p>
    <w:p w14:paraId="311531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岗位导向，任务驱动：对接畜禽养殖技术员、兽医防治员、繁育技术员、饲料与兽药技术员等核心岗位，将岗位典型工作任务转化为实习学习任务，让学生在真实养殖、诊疗场景中完成从理论到实践的转化。</w:t>
      </w:r>
    </w:p>
    <w:p w14:paraId="0428A6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校企协同，双师指导：联合规模化养殖企业、动物诊疗机构共建实习基地，校内专业教师与企业技术骨干共同担任指导教师，共同制定实习计划、实施过程指导、开展考核评价。</w:t>
      </w:r>
    </w:p>
    <w:p w14:paraId="7A3D58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能力递进，分层培养：按照“认知实习→专项实习→综合实习”三个阶段设计实习内容，从岗位认知、基础技能操作逐步过渡到综合生产管理与疾病防控，实现学生职业能力的阶梯式提升。</w:t>
      </w:r>
    </w:p>
    <w:p w14:paraId="65EC85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思政融入，素养并重：将职业道德、安全生产、生态环保、乡村振兴等思政元素融入实习全过程，在实践中培养学生的职业素养和社会责任感。</w:t>
      </w:r>
    </w:p>
    <w:p w14:paraId="1844E3FF">
      <w:pPr>
        <w:pStyle w:val="3"/>
        <w:bidi w:val="0"/>
        <w:rPr>
          <w:rFonts w:hint="eastAsia"/>
          <w:lang w:val="en-US" w:eastAsia="zh-CN"/>
        </w:rPr>
      </w:pPr>
      <w:r>
        <w:rPr>
          <w:rFonts w:hint="eastAsia"/>
          <w:lang w:val="en-US" w:eastAsia="zh-CN"/>
        </w:rPr>
        <w:t>四、课程目标</w:t>
      </w:r>
    </w:p>
    <w:p w14:paraId="696C7F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F25A6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1.掌握畜禽规模化养殖场的选址布局、环境卫生控制、饲养管理规程等生产管理知识。</w:t>
      </w:r>
    </w:p>
    <w:p w14:paraId="0538BB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掌握常见畜禽品种的选育、繁殖配种、妊娠诊断、接产助产等繁育技术知识。</w:t>
      </w:r>
    </w:p>
    <w:p w14:paraId="428E94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掌握畜禽常见传染病、寄生虫病、普通病的临床症状、诊断方法、防治措施等诊疗知识。</w:t>
      </w:r>
    </w:p>
    <w:p w14:paraId="42F3FB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掌握饲料配方设计、饲料储存与质量鉴别、兽药合理使用与休药期控制等相关知识。</w:t>
      </w:r>
    </w:p>
    <w:p w14:paraId="14B05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熟悉畜牧兽医相关法律法规，包括《中华人民共和国动物防疫法》《兽药管理条例》《畜禽规模养殖污染防治条例》等</w:t>
      </w:r>
      <w:r>
        <w:rPr>
          <w:rFonts w:hint="eastAsia" w:asciiTheme="minorEastAsia" w:hAnsiTheme="minorEastAsia" w:cstheme="minorEastAsia"/>
          <w:sz w:val="24"/>
          <w:szCs w:val="24"/>
          <w:lang w:val="en-US" w:eastAsia="zh-CN"/>
        </w:rPr>
        <w:t>。</w:t>
      </w:r>
    </w:p>
    <w:p w14:paraId="75982B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4AC06C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1.生产操作能力：能独立完成畜禽的饲喂、饮水、清粪、环境消毒、体温测量、体重称量等日常生产操作；能规范进行畜禽的引种、分群、转群等工作。</w:t>
      </w:r>
    </w:p>
    <w:p w14:paraId="16313A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繁育操作能力：能完成发情鉴定、人工授精、妊娠诊断、接产助产、初生仔畜护理等繁育技术操作。</w:t>
      </w:r>
    </w:p>
    <w:p w14:paraId="3E0824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疾病诊疗能力：能识别畜禽常见疾病的典型症状，能规范采集病料、进行药敏试验，能合理选用药物进行预防和治疗；能正确使用体温计、听诊器、注射器等常用诊疗器械。</w:t>
      </w:r>
    </w:p>
    <w:p w14:paraId="76B958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综合管理能力：能协助制定养殖场的饲养管理方案、防疫消毒计划；能对养殖生产数据进行记录、整理与分析；能处理养殖场常见的生产应急问题。</w:t>
      </w:r>
    </w:p>
    <w:p w14:paraId="0088D6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职业发展能力：能运用所学知识解决生产实际问题，具备自主学习新技术、新方法的能力；能撰写实习报告和技术总结。</w:t>
      </w:r>
    </w:p>
    <w:p w14:paraId="75CE43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5398A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1.具备吃苦耐劳、爱岗敬业的职业精神，能适应养殖场、诊疗机构的工作环境和作息要求。</w:t>
      </w:r>
    </w:p>
    <w:p w14:paraId="5C1C46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具备严谨细致、精益求精的工作态度，在生产操作和诊疗过程中注重细节、规范流程。</w:t>
      </w:r>
    </w:p>
    <w:p w14:paraId="465095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具备团队协作意识和沟通能力，能与养殖人员、技术人员有效协作完成工作任务。</w:t>
      </w:r>
    </w:p>
    <w:p w14:paraId="0D5C99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具备安全生产意识和环保意识，严格遵守操作规程，注重养殖废弃物的无害化处理。</w:t>
      </w:r>
    </w:p>
    <w:p w14:paraId="019B2D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4055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树立“科技兴农、强农有我”的信念，增强服务畜牧业高质量发展和乡村振兴的责任感。</w:t>
      </w:r>
    </w:p>
    <w:p w14:paraId="11DCC9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培养“敬畏生命、守护健康”的职业操守，遵守动物防疫和兽药使用相关法律法规，拒绝使用违禁药物。</w:t>
      </w:r>
    </w:p>
    <w:p w14:paraId="3CCB90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强化“绿色养殖、生态优先”的理念，践行畜禽养殖污染防治要求，推动畜牧业绿色可持续发展。</w:t>
      </w:r>
    </w:p>
    <w:p w14:paraId="0B605B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弘扬“精益求精、追求卓越”的工匠精神，在实践中锤炼专业技能，立志成为高素质畜牧兽医技术技能人才。</w:t>
      </w:r>
    </w:p>
    <w:p w14:paraId="24BC112A">
      <w:pPr>
        <w:pStyle w:val="3"/>
        <w:bidi w:val="0"/>
        <w:rPr>
          <w:rFonts w:hint="eastAsia"/>
          <w:lang w:val="en-US" w:eastAsia="zh-CN"/>
        </w:rPr>
      </w:pPr>
      <w:r>
        <w:rPr>
          <w:rFonts w:hint="eastAsia"/>
          <w:lang w:val="en-US" w:eastAsia="zh-CN"/>
        </w:rPr>
        <w:t>五、课程内容和要求</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936"/>
        <w:gridCol w:w="2149"/>
        <w:gridCol w:w="2139"/>
        <w:gridCol w:w="1608"/>
        <w:gridCol w:w="733"/>
      </w:tblGrid>
      <w:tr w14:paraId="5C14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52" w:type="pct"/>
            <w:vAlign w:val="center"/>
          </w:tcPr>
          <w:p w14:paraId="2B1873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00A23D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982" w:type="pct"/>
            <w:vAlign w:val="center"/>
          </w:tcPr>
          <w:p w14:paraId="4C83D9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1090" w:type="pct"/>
            <w:vAlign w:val="center"/>
          </w:tcPr>
          <w:p w14:paraId="74B558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1085" w:type="pct"/>
            <w:vAlign w:val="center"/>
          </w:tcPr>
          <w:p w14:paraId="617B13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16" w:type="pct"/>
            <w:vAlign w:val="center"/>
          </w:tcPr>
          <w:p w14:paraId="071CF2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72" w:type="pct"/>
            <w:vAlign w:val="center"/>
          </w:tcPr>
          <w:p w14:paraId="416E9D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667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Align w:val="center"/>
          </w:tcPr>
          <w:p w14:paraId="17A3A3FF">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b/>
                <w:sz w:val="21"/>
                <w:szCs w:val="21"/>
              </w:rPr>
              <w:t>情景一：认知实习（26学时）</w:t>
            </w:r>
          </w:p>
        </w:tc>
        <w:tc>
          <w:tcPr>
            <w:tcW w:w="982" w:type="pct"/>
            <w:vAlign w:val="center"/>
          </w:tcPr>
          <w:p w14:paraId="02379A0E">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畜牧兽医行业与岗位认知2. 实习基地规章制度学习3. 养殖场诊疗机构布局与设施认知</w:t>
            </w:r>
          </w:p>
        </w:tc>
        <w:tc>
          <w:tcPr>
            <w:tcW w:w="1090" w:type="pct"/>
            <w:vAlign w:val="center"/>
          </w:tcPr>
          <w:p w14:paraId="425B0810">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畜牧兽医行业发展现状与趋势2. 核心岗位的职责与要求3. 实习安全规范、劳动纪律4. 养殖场分区布局原则、诊疗机构功能分区5. 养殖设备与诊疗器械的种类与用途</w:t>
            </w:r>
          </w:p>
        </w:tc>
        <w:tc>
          <w:tcPr>
            <w:tcW w:w="1085" w:type="pct"/>
            <w:vAlign w:val="center"/>
          </w:tcPr>
          <w:p w14:paraId="5820CC9C">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识别养殖场生产区、生活区、隔离区2. 认识常见养殖设备（饲喂器、饮水器、孵化器等）和诊疗器械3. 撰写岗位认知报告</w:t>
            </w:r>
          </w:p>
        </w:tc>
        <w:tc>
          <w:tcPr>
            <w:tcW w:w="816" w:type="pct"/>
            <w:vAlign w:val="center"/>
          </w:tcPr>
          <w:p w14:paraId="260EFC58">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劳动纪律教育、安全生产意识2. 行业使命感与职业认同感3. 乡村振兴战略下畜牧业的机遇</w:t>
            </w:r>
          </w:p>
        </w:tc>
        <w:tc>
          <w:tcPr>
            <w:tcW w:w="372" w:type="pct"/>
            <w:vAlign w:val="center"/>
          </w:tcPr>
          <w:p w14:paraId="55C604D9">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26</w:t>
            </w:r>
          </w:p>
        </w:tc>
      </w:tr>
      <w:tr w14:paraId="0959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Merge w:val="restart"/>
            <w:vAlign w:val="center"/>
          </w:tcPr>
          <w:p w14:paraId="536E9845">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b/>
                <w:sz w:val="21"/>
                <w:szCs w:val="21"/>
              </w:rPr>
              <w:t>情景二：专项实习（160学时）</w:t>
            </w:r>
          </w:p>
        </w:tc>
        <w:tc>
          <w:tcPr>
            <w:tcW w:w="982" w:type="pct"/>
            <w:vAlign w:val="center"/>
          </w:tcPr>
          <w:p w14:paraId="2E165E95">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sz w:val="21"/>
                <w:szCs w:val="21"/>
              </w:rPr>
              <w:t>任务1：畜禽日常饲养管理（40学时）</w:t>
            </w:r>
            <w:r>
              <w:rPr>
                <w:rFonts w:hint="eastAsia" w:ascii="宋体" w:hAnsi="宋体" w:eastAsia="宋体" w:cs="宋体"/>
                <w:sz w:val="21"/>
                <w:szCs w:val="21"/>
              </w:rPr>
              <w:t>1. 畜禽品种识别与分群2. 饲喂方案执行与调整3. 环境卫生控制与消毒</w:t>
            </w:r>
          </w:p>
        </w:tc>
        <w:tc>
          <w:tcPr>
            <w:tcW w:w="1090" w:type="pct"/>
            <w:vAlign w:val="center"/>
          </w:tcPr>
          <w:p w14:paraId="51626F7A">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常见畜禽品种特征2. 不同生长阶段畜禽的营养需求3. 饲料储存与质量鉴别方法4. 消毒药的种类、配比与使用方法5. 养殖场环境卫生标准</w:t>
            </w:r>
          </w:p>
        </w:tc>
        <w:tc>
          <w:tcPr>
            <w:tcW w:w="1085" w:type="pct"/>
            <w:vAlign w:val="center"/>
          </w:tcPr>
          <w:p w14:paraId="1D6DAE94">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准确识别常见畜禽品种2. 按规范进行饲喂、清粪、通风等操作3. 正确配制消毒药并进行场地、器械消毒4. 记录畜禽采食、饮水及健康状况</w:t>
            </w:r>
          </w:p>
        </w:tc>
        <w:tc>
          <w:tcPr>
            <w:tcW w:w="816" w:type="pct"/>
            <w:vAlign w:val="center"/>
          </w:tcPr>
          <w:p w14:paraId="42B7A375">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爱岗敬业精神、责任意识2. 规范操作意识、质量意识3. 环保意识（废弃物清理）</w:t>
            </w:r>
          </w:p>
        </w:tc>
        <w:tc>
          <w:tcPr>
            <w:tcW w:w="372" w:type="pct"/>
            <w:vAlign w:val="center"/>
          </w:tcPr>
          <w:p w14:paraId="11986D5D">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40</w:t>
            </w:r>
          </w:p>
        </w:tc>
      </w:tr>
      <w:tr w14:paraId="1EF3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Merge w:val="continue"/>
            <w:vAlign w:val="center"/>
          </w:tcPr>
          <w:p w14:paraId="461E1949">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p>
        </w:tc>
        <w:tc>
          <w:tcPr>
            <w:tcW w:w="982" w:type="pct"/>
            <w:vAlign w:val="center"/>
          </w:tcPr>
          <w:p w14:paraId="77619C11">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sz w:val="21"/>
                <w:szCs w:val="21"/>
              </w:rPr>
              <w:t>任务2：畜禽繁育技术操作（40学时）</w:t>
            </w:r>
            <w:r>
              <w:rPr>
                <w:rFonts w:hint="eastAsia" w:ascii="宋体" w:hAnsi="宋体" w:eastAsia="宋体" w:cs="宋体"/>
                <w:sz w:val="21"/>
                <w:szCs w:val="21"/>
              </w:rPr>
              <w:t>1. 发情鉴定2. 人工授精3. 妊娠诊断4. 接产助产与仔畜护理</w:t>
            </w:r>
          </w:p>
        </w:tc>
        <w:tc>
          <w:tcPr>
            <w:tcW w:w="1090" w:type="pct"/>
            <w:vAlign w:val="center"/>
          </w:tcPr>
          <w:p w14:paraId="73E846A2">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畜禽发情周期与发情症状2. 人工授精器械消毒与精液处理3. 妊娠诊断的方法（外部观察法、直肠检查法等）4. 接产助产的时机与操作要点5. 初生仔畜窒息急救、断脐、保温等护理知识</w:t>
            </w:r>
          </w:p>
        </w:tc>
        <w:tc>
          <w:tcPr>
            <w:tcW w:w="1085" w:type="pct"/>
            <w:vAlign w:val="center"/>
          </w:tcPr>
          <w:p w14:paraId="46C8708F">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规范进行发情鉴定（试情法、外部观察法）2. 完成人工授精的采精、输精操作3. 运用合适方法进行妊娠诊断4. 独立完成接产助产及仔畜护理</w:t>
            </w:r>
          </w:p>
        </w:tc>
        <w:tc>
          <w:tcPr>
            <w:tcW w:w="816" w:type="pct"/>
            <w:vAlign w:val="center"/>
          </w:tcPr>
          <w:p w14:paraId="3A7D0264">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严谨细致的工作态度2. 敬畏生命的职业操守3. 精益求精的工匠精神</w:t>
            </w:r>
          </w:p>
        </w:tc>
        <w:tc>
          <w:tcPr>
            <w:tcW w:w="372" w:type="pct"/>
            <w:vAlign w:val="center"/>
          </w:tcPr>
          <w:p w14:paraId="3A713093">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40</w:t>
            </w:r>
          </w:p>
        </w:tc>
      </w:tr>
      <w:tr w14:paraId="4CB2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Merge w:val="continue"/>
            <w:vAlign w:val="center"/>
          </w:tcPr>
          <w:p w14:paraId="6EDDCB85">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p>
        </w:tc>
        <w:tc>
          <w:tcPr>
            <w:tcW w:w="982" w:type="pct"/>
            <w:vAlign w:val="center"/>
          </w:tcPr>
          <w:p w14:paraId="1CD5DFCD">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sz w:val="21"/>
                <w:szCs w:val="21"/>
              </w:rPr>
              <w:t>任务3：畜禽常见疾病防治（40学时）</w:t>
            </w:r>
            <w:r>
              <w:rPr>
                <w:rFonts w:hint="eastAsia" w:ascii="宋体" w:hAnsi="宋体" w:eastAsia="宋体" w:cs="宋体"/>
                <w:sz w:val="21"/>
                <w:szCs w:val="21"/>
              </w:rPr>
              <w:t>1. 临床症状观察与诊断2. 病料采集与送检3. 药物选择与给药4. 疫苗接种与免疫程序执行</w:t>
            </w:r>
          </w:p>
        </w:tc>
        <w:tc>
          <w:tcPr>
            <w:tcW w:w="1090" w:type="pct"/>
            <w:vAlign w:val="center"/>
          </w:tcPr>
          <w:p w14:paraId="23709BC4">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畜禽常见传染病、寄生虫病、普通病的临床症状2. 病料采集的原则、方法与保存3. 兽药的分类、作用机制与合理使用4. 休药期规定与兽药残留危害5. 免疫接种的方法与注意事项</w:t>
            </w:r>
          </w:p>
        </w:tc>
        <w:tc>
          <w:tcPr>
            <w:tcW w:w="1085" w:type="pct"/>
            <w:vAlign w:val="center"/>
          </w:tcPr>
          <w:p w14:paraId="2ADAF034">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运用问诊、视诊、触诊、听诊等方法诊断疾病2. 规范采集血液、粪便、组织等病料3. 正确选择药物并进行注射、混饮、混饲等给药操作4. 完成疫苗接种并记录免疫信息</w:t>
            </w:r>
          </w:p>
        </w:tc>
        <w:tc>
          <w:tcPr>
            <w:tcW w:w="816" w:type="pct"/>
            <w:vAlign w:val="center"/>
          </w:tcPr>
          <w:p w14:paraId="0F706B67">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依法执业意识（兽药管理条例）2. 职业道德（拒绝违禁药）3. 责任担当（疫情上报）</w:t>
            </w:r>
          </w:p>
        </w:tc>
        <w:tc>
          <w:tcPr>
            <w:tcW w:w="372" w:type="pct"/>
            <w:vAlign w:val="center"/>
          </w:tcPr>
          <w:p w14:paraId="02E1FF6C">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40</w:t>
            </w:r>
          </w:p>
        </w:tc>
      </w:tr>
      <w:tr w14:paraId="38C3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Merge w:val="continue"/>
            <w:vAlign w:val="center"/>
          </w:tcPr>
          <w:p w14:paraId="734D30A9">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p>
        </w:tc>
        <w:tc>
          <w:tcPr>
            <w:tcW w:w="982" w:type="pct"/>
            <w:vAlign w:val="center"/>
          </w:tcPr>
          <w:p w14:paraId="02BDE6CA">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b/>
                <w:sz w:val="21"/>
                <w:szCs w:val="21"/>
              </w:rPr>
              <w:t>任务4：饲料与兽药技术服务（40学时）</w:t>
            </w:r>
            <w:r>
              <w:rPr>
                <w:rFonts w:hint="eastAsia" w:ascii="宋体" w:hAnsi="宋体" w:eastAsia="宋体" w:cs="宋体"/>
                <w:sz w:val="21"/>
                <w:szCs w:val="21"/>
              </w:rPr>
              <w:t>1. 饲料配方初步设计2. 饲料质量检测3. 兽药产品推广与技术指导</w:t>
            </w:r>
          </w:p>
        </w:tc>
        <w:tc>
          <w:tcPr>
            <w:tcW w:w="1090" w:type="pct"/>
            <w:vAlign w:val="center"/>
          </w:tcPr>
          <w:p w14:paraId="7FDB7BDE">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饲料原料的营养特性2. 饲料配方设计的基本原则3. 饲料水分、粗蛋白简易检测方法4. 兽药的适应症与使用禁忌5. 技术服务的沟通技巧</w:t>
            </w:r>
          </w:p>
        </w:tc>
        <w:tc>
          <w:tcPr>
            <w:tcW w:w="1085" w:type="pct"/>
            <w:vAlign w:val="center"/>
          </w:tcPr>
          <w:p w14:paraId="48D69FB8">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根据畜禽品种设计简易饲料配方2. 进行饲料水分、感官等质量检测3. 向养殖户讲解兽药使用方法与注意事项4. 撰写饲料兽药技术服务方案</w:t>
            </w:r>
          </w:p>
        </w:tc>
        <w:tc>
          <w:tcPr>
            <w:tcW w:w="816" w:type="pct"/>
            <w:vAlign w:val="center"/>
          </w:tcPr>
          <w:p w14:paraId="1176C07D">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诚信经营意识（不夸大产品功效）2. 服务三农的宗旨意识3. 科学严谨的专业态度</w:t>
            </w:r>
          </w:p>
        </w:tc>
        <w:tc>
          <w:tcPr>
            <w:tcW w:w="372" w:type="pct"/>
            <w:vAlign w:val="center"/>
          </w:tcPr>
          <w:p w14:paraId="06AE0DD1">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40</w:t>
            </w:r>
          </w:p>
        </w:tc>
      </w:tr>
      <w:tr w14:paraId="2421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pct"/>
            <w:vAlign w:val="center"/>
          </w:tcPr>
          <w:p w14:paraId="126C951C">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b/>
                <w:sz w:val="21"/>
                <w:szCs w:val="21"/>
              </w:rPr>
              <w:t>情景三：综合实习（100学时）</w:t>
            </w:r>
          </w:p>
        </w:tc>
        <w:tc>
          <w:tcPr>
            <w:tcW w:w="982" w:type="pct"/>
            <w:vAlign w:val="center"/>
          </w:tcPr>
          <w:p w14:paraId="77D6FCDE">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养殖场综合生产管理2. 区域性畜禽疫病防控方案制定3. 实习总结与职业规划</w:t>
            </w:r>
          </w:p>
        </w:tc>
        <w:tc>
          <w:tcPr>
            <w:tcW w:w="1090" w:type="pct"/>
            <w:vAlign w:val="center"/>
          </w:tcPr>
          <w:p w14:paraId="5AE9CC22">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养殖场生产计划制定方法2. 畜禽疫病流行病学调查知识3. 疫病防控方案的框架与内容4. 职业发展规划的制定方法5. 畜牧兽医行业政策与法规综合应用</w:t>
            </w:r>
          </w:p>
        </w:tc>
        <w:tc>
          <w:tcPr>
            <w:tcW w:w="1085" w:type="pct"/>
            <w:vAlign w:val="center"/>
          </w:tcPr>
          <w:p w14:paraId="643AFF4F">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协助场长制定饲养管理、防疫消毒计划2. 开展区域性畜禽疫病流行病学调查3. 编制畜禽疫病防控方案4. 独立处理养殖生产中的突发问题5. 撰写完整实习报告与职业规划书</w:t>
            </w:r>
          </w:p>
        </w:tc>
        <w:tc>
          <w:tcPr>
            <w:tcW w:w="816" w:type="pct"/>
            <w:vAlign w:val="center"/>
          </w:tcPr>
          <w:p w14:paraId="540C14EE">
            <w:pPr>
              <w:snapToGrid w:val="0"/>
              <w:spacing w:before="120" w:after="120"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统筹协调能力与团队协作精神2. 乡村振兴与产业报国的使命感3. 终身学习与职业发展意识</w:t>
            </w:r>
          </w:p>
        </w:tc>
        <w:tc>
          <w:tcPr>
            <w:tcW w:w="372" w:type="pct"/>
            <w:vAlign w:val="center"/>
          </w:tcPr>
          <w:p w14:paraId="3E0DEBD3">
            <w:pPr>
              <w:snapToGrid w:val="0"/>
              <w:spacing w:before="120" w:after="12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100</w:t>
            </w:r>
          </w:p>
        </w:tc>
      </w:tr>
    </w:tbl>
    <w:p w14:paraId="277E0412">
      <w:pPr>
        <w:pStyle w:val="3"/>
        <w:bidi w:val="0"/>
        <w:rPr>
          <w:rFonts w:hint="eastAsia"/>
          <w:lang w:val="en-US" w:eastAsia="zh-CN"/>
        </w:rPr>
      </w:pPr>
      <w:r>
        <w:rPr>
          <w:rFonts w:hint="eastAsia"/>
          <w:lang w:val="en-US" w:eastAsia="zh-CN"/>
        </w:rPr>
        <w:t>六、课程考核与评价</w:t>
      </w:r>
    </w:p>
    <w:p w14:paraId="278023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遵循“立德树人、德技并修”的评价导向，坚持“过程评价与结果评价结合、技能考核与思政评价结合、校内实训与企业评价结合”的原则，全面评价学生的实训表现。</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2278"/>
        <w:gridCol w:w="1417"/>
        <w:gridCol w:w="3825"/>
      </w:tblGrid>
      <w:tr w14:paraId="7336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tcBorders>
              <w:left w:val="single" w:color="auto" w:sz="4" w:space="0"/>
              <w:right w:val="single" w:color="auto" w:sz="4" w:space="0"/>
            </w:tcBorders>
            <w:vAlign w:val="center"/>
          </w:tcPr>
          <w:p w14:paraId="2E99DB72">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2"/>
                <w:szCs w:val="22"/>
                <w:highlight w:val="none"/>
                <w:lang w:val="en-US" w:eastAsia="zh-CN" w:bidi="ar"/>
              </w:rPr>
              <w:t>评价项目</w:t>
            </w:r>
          </w:p>
        </w:tc>
        <w:tc>
          <w:tcPr>
            <w:tcW w:w="2108" w:type="dxa"/>
            <w:tcBorders>
              <w:left w:val="single" w:color="auto" w:sz="4" w:space="0"/>
              <w:right w:val="single" w:color="auto" w:sz="4" w:space="0"/>
            </w:tcBorders>
            <w:vAlign w:val="center"/>
          </w:tcPr>
          <w:p w14:paraId="6852D99C">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2"/>
                <w:szCs w:val="22"/>
                <w:highlight w:val="none"/>
                <w:lang w:val="en-US" w:eastAsia="zh-CN" w:bidi="ar"/>
              </w:rPr>
              <w:t>评价方式</w:t>
            </w:r>
          </w:p>
        </w:tc>
        <w:tc>
          <w:tcPr>
            <w:tcW w:w="1311" w:type="dxa"/>
            <w:tcBorders>
              <w:left w:val="single" w:color="auto" w:sz="4" w:space="0"/>
              <w:right w:val="single" w:color="auto" w:sz="4" w:space="0"/>
            </w:tcBorders>
            <w:vAlign w:val="center"/>
          </w:tcPr>
          <w:p w14:paraId="14B87BF2">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2"/>
                <w:szCs w:val="22"/>
                <w:highlight w:val="none"/>
                <w:lang w:val="en-US" w:eastAsia="zh-CN" w:bidi="ar"/>
              </w:rPr>
              <w:t>分值比例</w:t>
            </w:r>
          </w:p>
        </w:tc>
        <w:tc>
          <w:tcPr>
            <w:tcW w:w="3539" w:type="dxa"/>
            <w:tcBorders>
              <w:left w:val="single" w:color="auto" w:sz="4" w:space="0"/>
              <w:right w:val="single" w:color="auto" w:sz="4" w:space="0"/>
            </w:tcBorders>
            <w:vAlign w:val="center"/>
          </w:tcPr>
          <w:p w14:paraId="05765848">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2"/>
                <w:szCs w:val="22"/>
                <w:highlight w:val="none"/>
                <w:lang w:val="en-US" w:eastAsia="zh-CN" w:bidi="ar"/>
              </w:rPr>
              <w:t>评价标准</w:t>
            </w:r>
          </w:p>
        </w:tc>
      </w:tr>
      <w:tr w14:paraId="40B2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restart"/>
            <w:tcBorders>
              <w:left w:val="single" w:color="auto" w:sz="4" w:space="0"/>
              <w:right w:val="single" w:color="auto" w:sz="4" w:space="0"/>
            </w:tcBorders>
            <w:vAlign w:val="center"/>
          </w:tcPr>
          <w:p w14:paraId="3F0FA6BA">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过程性评价</w:t>
            </w:r>
          </w:p>
        </w:tc>
        <w:tc>
          <w:tcPr>
            <w:tcW w:w="2108" w:type="dxa"/>
            <w:tcBorders>
              <w:left w:val="single" w:color="auto" w:sz="4" w:space="0"/>
              <w:right w:val="single" w:color="auto" w:sz="4" w:space="0"/>
            </w:tcBorders>
            <w:shd w:val="clear" w:color="auto" w:fill="auto"/>
            <w:vAlign w:val="center"/>
          </w:tcPr>
          <w:p w14:paraId="25624E87">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岗位日常操作绩效</w:t>
            </w:r>
          </w:p>
        </w:tc>
        <w:tc>
          <w:tcPr>
            <w:tcW w:w="1311" w:type="dxa"/>
            <w:tcBorders>
              <w:left w:val="single" w:color="auto" w:sz="4" w:space="0"/>
              <w:right w:val="single" w:color="auto" w:sz="4" w:space="0"/>
            </w:tcBorders>
            <w:shd w:val="clear" w:color="auto" w:fill="auto"/>
            <w:vAlign w:val="center"/>
          </w:tcPr>
          <w:p w14:paraId="20E4AE69">
            <w:pPr>
              <w:keepNext w:val="0"/>
              <w:keepLines w:val="0"/>
              <w:widowControl/>
              <w:suppressLineNumbers w:val="0"/>
              <w:spacing w:before="0" w:beforeAutospacing="0" w:after="0" w:afterAutospacing="0"/>
              <w:ind w:left="0" w:leftChars="0" w:right="0" w:rightChars="0" w:firstLine="0" w:firstLineChars="0"/>
              <w:jc w:val="left"/>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30%</w:t>
            </w:r>
          </w:p>
        </w:tc>
        <w:tc>
          <w:tcPr>
            <w:tcW w:w="3539" w:type="dxa"/>
            <w:tcBorders>
              <w:left w:val="single" w:color="auto" w:sz="4" w:space="0"/>
              <w:right w:val="single" w:color="auto" w:sz="4" w:space="0"/>
            </w:tcBorders>
            <w:vAlign w:val="center"/>
          </w:tcPr>
          <w:p w14:paraId="669B2DD8">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由企业导师按操作规范性、工艺稳定性、安全合规性进行量化评分</w:t>
            </w:r>
          </w:p>
        </w:tc>
      </w:tr>
      <w:tr w14:paraId="1361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continue"/>
            <w:tcBorders>
              <w:left w:val="single" w:color="auto" w:sz="4" w:space="0"/>
              <w:right w:val="single" w:color="auto" w:sz="4" w:space="0"/>
            </w:tcBorders>
            <w:vAlign w:val="center"/>
          </w:tcPr>
          <w:p w14:paraId="3E4F9DAC">
            <w:pPr>
              <w:jc w:val="center"/>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p>
        </w:tc>
        <w:tc>
          <w:tcPr>
            <w:tcW w:w="2108" w:type="dxa"/>
            <w:tcBorders>
              <w:left w:val="single" w:color="auto" w:sz="4" w:space="0"/>
              <w:right w:val="single" w:color="auto" w:sz="4" w:space="0"/>
            </w:tcBorders>
            <w:vAlign w:val="center"/>
          </w:tcPr>
          <w:p w14:paraId="3A4600F2">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eastAsia" w:asciiTheme="minorEastAsia" w:hAnsiTheme="minorEastAsia" w:cstheme="minorEastAsia"/>
                <w:i w:val="0"/>
                <w:iCs w:val="0"/>
                <w:caps w:val="0"/>
                <w:color w:val="auto"/>
                <w:spacing w:val="0"/>
                <w:kern w:val="0"/>
                <w:sz w:val="22"/>
                <w:szCs w:val="22"/>
                <w:highlight w:val="none"/>
                <w:lang w:val="en-US" w:eastAsia="zh-CN" w:bidi="ar"/>
              </w:rPr>
              <w:t>日常技能</w:t>
            </w: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工作表现</w:t>
            </w:r>
          </w:p>
        </w:tc>
        <w:tc>
          <w:tcPr>
            <w:tcW w:w="1311" w:type="dxa"/>
            <w:tcBorders>
              <w:left w:val="single" w:color="auto" w:sz="4" w:space="0"/>
              <w:right w:val="single" w:color="auto" w:sz="4" w:space="0"/>
            </w:tcBorders>
            <w:vAlign w:val="center"/>
          </w:tcPr>
          <w:p w14:paraId="642C9CE3">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eastAsia" w:asciiTheme="minorEastAsia" w:hAnsiTheme="minorEastAsia" w:cstheme="minorEastAsia"/>
                <w:i w:val="0"/>
                <w:iCs w:val="0"/>
                <w:caps w:val="0"/>
                <w:color w:val="auto"/>
                <w:spacing w:val="0"/>
                <w:kern w:val="0"/>
                <w:sz w:val="22"/>
                <w:szCs w:val="22"/>
                <w:highlight w:val="none"/>
                <w:lang w:val="en-US" w:eastAsia="zh-CN" w:bidi="ar"/>
              </w:rPr>
              <w:t>3</w:t>
            </w: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0%</w:t>
            </w:r>
          </w:p>
        </w:tc>
        <w:tc>
          <w:tcPr>
            <w:tcW w:w="3539" w:type="dxa"/>
            <w:tcBorders>
              <w:left w:val="single" w:color="auto" w:sz="4" w:space="0"/>
              <w:right w:val="single" w:color="auto" w:sz="4" w:space="0"/>
            </w:tcBorders>
            <w:vAlign w:val="center"/>
          </w:tcPr>
          <w:p w14:paraId="3DF2C9A4">
            <w:pPr>
              <w:keepNext w:val="0"/>
              <w:keepLines w:val="0"/>
              <w:widowControl/>
              <w:suppressLineNumbers w:val="0"/>
              <w:spacing w:before="0" w:beforeAutospacing="0" w:after="0" w:afterAutospacing="0"/>
              <w:ind w:left="0" w:leftChars="0" w:right="0" w:rightChars="0" w:firstLine="0" w:firstLineChars="0"/>
              <w:jc w:val="left"/>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eastAsia" w:asciiTheme="minorEastAsia" w:hAnsiTheme="minorEastAsia" w:cstheme="minorEastAsia"/>
                <w:i w:val="0"/>
                <w:iCs w:val="0"/>
                <w:caps w:val="0"/>
                <w:color w:val="auto"/>
                <w:spacing w:val="0"/>
                <w:kern w:val="0"/>
                <w:sz w:val="22"/>
                <w:szCs w:val="22"/>
                <w:highlight w:val="none"/>
                <w:lang w:val="en-US" w:eastAsia="zh-CN" w:bidi="ar"/>
              </w:rPr>
              <w:t>有企业导师进行评分</w:t>
            </w:r>
          </w:p>
        </w:tc>
      </w:tr>
      <w:tr w14:paraId="2E33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restart"/>
            <w:tcBorders>
              <w:left w:val="single" w:color="auto" w:sz="4" w:space="0"/>
              <w:right w:val="single" w:color="auto" w:sz="4" w:space="0"/>
            </w:tcBorders>
            <w:vAlign w:val="center"/>
          </w:tcPr>
          <w:p w14:paraId="3A15F498">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终结性评价</w:t>
            </w:r>
          </w:p>
        </w:tc>
        <w:tc>
          <w:tcPr>
            <w:tcW w:w="2108" w:type="dxa"/>
            <w:tcBorders>
              <w:left w:val="single" w:color="auto" w:sz="4" w:space="0"/>
              <w:right w:val="single" w:color="auto" w:sz="4" w:space="0"/>
            </w:tcBorders>
            <w:vAlign w:val="center"/>
          </w:tcPr>
          <w:p w14:paraId="474BF555">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岗位技能综合实操</w:t>
            </w:r>
          </w:p>
        </w:tc>
        <w:tc>
          <w:tcPr>
            <w:tcW w:w="1311" w:type="dxa"/>
            <w:tcBorders>
              <w:left w:val="single" w:color="auto" w:sz="4" w:space="0"/>
              <w:right w:val="single" w:color="auto" w:sz="4" w:space="0"/>
            </w:tcBorders>
            <w:vAlign w:val="center"/>
          </w:tcPr>
          <w:p w14:paraId="55D19BA5">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30%</w:t>
            </w:r>
          </w:p>
        </w:tc>
        <w:tc>
          <w:tcPr>
            <w:tcW w:w="3539" w:type="dxa"/>
            <w:tcBorders>
              <w:left w:val="single" w:color="auto" w:sz="4" w:space="0"/>
              <w:right w:val="single" w:color="auto" w:sz="4" w:space="0"/>
            </w:tcBorders>
            <w:vAlign w:val="center"/>
          </w:tcPr>
          <w:p w14:paraId="109E73CC">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在</w:t>
            </w:r>
            <w:r>
              <w:rPr>
                <w:rFonts w:hint="eastAsia" w:asciiTheme="minorEastAsia" w:hAnsiTheme="minorEastAsia" w:cstheme="minorEastAsia"/>
                <w:i w:val="0"/>
                <w:iCs w:val="0"/>
                <w:caps w:val="0"/>
                <w:color w:val="auto"/>
                <w:spacing w:val="0"/>
                <w:kern w:val="0"/>
                <w:sz w:val="22"/>
                <w:szCs w:val="22"/>
                <w:highlight w:val="none"/>
                <w:lang w:val="en-US" w:eastAsia="zh-CN" w:bidi="ar"/>
              </w:rPr>
              <w:t>日常的生产管理工作中</w:t>
            </w: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，考核岗位独立胜任能力</w:t>
            </w:r>
          </w:p>
        </w:tc>
      </w:tr>
      <w:tr w14:paraId="7B97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2" w:type="dxa"/>
            <w:vMerge w:val="continue"/>
            <w:tcBorders>
              <w:left w:val="single" w:color="auto" w:sz="4" w:space="0"/>
              <w:right w:val="single" w:color="auto" w:sz="4" w:space="0"/>
            </w:tcBorders>
            <w:vAlign w:val="center"/>
          </w:tcPr>
          <w:p w14:paraId="488CDDCC">
            <w:pPr>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p>
        </w:tc>
        <w:tc>
          <w:tcPr>
            <w:tcW w:w="2108" w:type="dxa"/>
            <w:tcBorders>
              <w:left w:val="single" w:color="auto" w:sz="4" w:space="0"/>
              <w:right w:val="single" w:color="auto" w:sz="4" w:space="0"/>
            </w:tcBorders>
            <w:vAlign w:val="center"/>
          </w:tcPr>
          <w:p w14:paraId="2E2C88C2">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实训成果与职业素养答辩</w:t>
            </w:r>
          </w:p>
        </w:tc>
        <w:tc>
          <w:tcPr>
            <w:tcW w:w="1311" w:type="dxa"/>
            <w:tcBorders>
              <w:left w:val="single" w:color="auto" w:sz="4" w:space="0"/>
              <w:right w:val="single" w:color="auto" w:sz="4" w:space="0"/>
            </w:tcBorders>
            <w:vAlign w:val="center"/>
          </w:tcPr>
          <w:p w14:paraId="1277789F">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10%</w:t>
            </w:r>
          </w:p>
        </w:tc>
        <w:tc>
          <w:tcPr>
            <w:tcW w:w="3539" w:type="dxa"/>
            <w:tcBorders>
              <w:left w:val="single" w:color="auto" w:sz="4" w:space="0"/>
              <w:right w:val="single" w:color="auto" w:sz="4" w:space="0"/>
            </w:tcBorders>
            <w:vAlign w:val="center"/>
          </w:tcPr>
          <w:p w14:paraId="4FA69204">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2"/>
                <w:szCs w:val="22"/>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2"/>
                <w:szCs w:val="22"/>
                <w:highlight w:val="none"/>
                <w:lang w:val="en-US" w:eastAsia="zh-CN" w:bidi="ar"/>
              </w:rPr>
              <w:t>汇报实训成果与职业成长，考核综合素养与岗位认知深度</w:t>
            </w:r>
          </w:p>
        </w:tc>
      </w:tr>
    </w:tbl>
    <w:p w14:paraId="11F3C688">
      <w:pPr>
        <w:pStyle w:val="3"/>
        <w:bidi w:val="0"/>
        <w:rPr>
          <w:rFonts w:hint="eastAsia"/>
          <w:lang w:val="en-US" w:eastAsia="zh-CN"/>
        </w:rPr>
      </w:pPr>
      <w:r>
        <w:rPr>
          <w:rFonts w:hint="eastAsia"/>
          <w:lang w:val="en-US" w:eastAsia="zh-CN"/>
        </w:rPr>
        <w:t>七、课程实施与保障</w:t>
      </w:r>
    </w:p>
    <w:p w14:paraId="13F42E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7E04A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采用“企业导师主责、校内导师赋能”的双师模式，企业导师负责岗位实操指导，校内导师负责技术理论复盘与职业素养引导；</w:t>
      </w:r>
    </w:p>
    <w:p w14:paraId="549D77C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依托岗位实习综合管理平台，实现实训打卡、周记/技术报告提交、导师考评的全流程信息化管控；</w:t>
      </w:r>
    </w:p>
    <w:p w14:paraId="5AEA94D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推行“项目制实训”，为学生分配具体工艺优化或故障处置项目，以项目成果衡量实训成效；</w:t>
      </w:r>
    </w:p>
    <w:p w14:paraId="6126C1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07FF5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解剖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6C1ECB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19FA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EA7EFB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校内专职教师需具备5年以上石化专业教学经验，且每5年累计不少于6个月企业实践经历；</w:t>
      </w:r>
    </w:p>
    <w:p w14:paraId="395AD4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企业兼职教师需为畜牧兽医相关技术人员，熟悉养殖诊疗饲料与岗位培训流程；</w:t>
      </w:r>
    </w:p>
    <w:p w14:paraId="7AD301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团队需为“双师型”结构，专兼教师比例不低于1:1。</w:t>
      </w:r>
    </w:p>
    <w:p w14:paraId="1E25E3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14:paraId="0CB5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6B5DBA6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实训场所</w:t>
            </w:r>
          </w:p>
        </w:tc>
        <w:tc>
          <w:tcPr>
            <w:tcW w:w="3285" w:type="dxa"/>
            <w:vAlign w:val="center"/>
          </w:tcPr>
          <w:p w14:paraId="374B944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核心配置</w:t>
            </w:r>
          </w:p>
        </w:tc>
        <w:tc>
          <w:tcPr>
            <w:tcW w:w="3285" w:type="dxa"/>
            <w:vAlign w:val="center"/>
          </w:tcPr>
          <w:p w14:paraId="37BA510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功能说明</w:t>
            </w:r>
          </w:p>
        </w:tc>
      </w:tr>
      <w:tr w14:paraId="45F3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24F16FD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校内实训基地</w:t>
            </w:r>
          </w:p>
        </w:tc>
        <w:tc>
          <w:tcPr>
            <w:tcW w:w="3285" w:type="dxa"/>
            <w:vAlign w:val="center"/>
          </w:tcPr>
          <w:p w14:paraId="22F3D13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微生物实训室、诊疗实训室、动物外科实训室</w:t>
            </w:r>
          </w:p>
        </w:tc>
        <w:tc>
          <w:tcPr>
            <w:tcW w:w="3285" w:type="dxa"/>
            <w:vAlign w:val="center"/>
          </w:tcPr>
          <w:p w14:paraId="476F306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完成基础技能与仿真操作训练</w:t>
            </w:r>
          </w:p>
        </w:tc>
      </w:tr>
      <w:tr w14:paraId="6CF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560CAD3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校外实训基地</w:t>
            </w:r>
          </w:p>
        </w:tc>
        <w:tc>
          <w:tcPr>
            <w:tcW w:w="3285" w:type="dxa"/>
            <w:vAlign w:val="center"/>
          </w:tcPr>
          <w:p w14:paraId="7706905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锦州凯为生物技术有限公司，阜新彰武正成养猪繁育公司，锦州牵手动物医院</w:t>
            </w:r>
          </w:p>
        </w:tc>
        <w:tc>
          <w:tcPr>
            <w:tcW w:w="3285" w:type="dxa"/>
            <w:vAlign w:val="center"/>
          </w:tcPr>
          <w:p w14:paraId="0499B0A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开展岗位实战与轮岗实训</w:t>
            </w:r>
          </w:p>
        </w:tc>
      </w:tr>
      <w:tr w14:paraId="049F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780354E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信息化平台</w:t>
            </w:r>
          </w:p>
        </w:tc>
        <w:tc>
          <w:tcPr>
            <w:tcW w:w="3285" w:type="dxa"/>
            <w:vAlign w:val="center"/>
          </w:tcPr>
          <w:p w14:paraId="4AD56FB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岗位实习综合管理平台</w:t>
            </w:r>
          </w:p>
        </w:tc>
        <w:tc>
          <w:tcPr>
            <w:tcW w:w="3285" w:type="dxa"/>
            <w:vAlign w:val="center"/>
          </w:tcPr>
          <w:p w14:paraId="223878D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实现实训打卡、文档提交、过程督导</w:t>
            </w:r>
          </w:p>
        </w:tc>
      </w:tr>
    </w:tbl>
    <w:p w14:paraId="02CB8C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EE084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3EEF8D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企业岗位操作规程、畜牧兽医实训指导手册、安全应急演练方案、岗位任务书模板；</w:t>
      </w:r>
    </w:p>
    <w:p w14:paraId="49F19C75">
      <w:pPr>
        <w:keepNext w:val="0"/>
        <w:keepLines w:val="0"/>
        <w:pageBreakBefore w:val="0"/>
        <w:widowControl w:val="0"/>
        <w:numPr>
          <w:ilvl w:val="0"/>
          <w:numId w:val="51"/>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6FFA044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岗位实习管理平台数字化台账。</w:t>
      </w:r>
    </w:p>
    <w:p w14:paraId="7CCF5586">
      <w:pPr>
        <w:rPr>
          <w:rFonts w:hint="eastAsia" w:ascii="宋体" w:hAnsi="宋体" w:eastAsia="宋体" w:cs="宋体"/>
          <w:sz w:val="24"/>
          <w:szCs w:val="24"/>
          <w:lang w:val="en-US" w:eastAsia="zh-CN"/>
        </w:rPr>
      </w:pPr>
    </w:p>
    <w:p w14:paraId="457AA3B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1FDF281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954A4D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6754EB0C">
      <w:pPr>
        <w:rPr>
          <w:rFonts w:hint="eastAsia"/>
          <w:lang w:val="en-US" w:eastAsia="zh-CN"/>
        </w:rPr>
      </w:pPr>
      <w:bookmarkStart w:id="68" w:name="_Toc10886"/>
      <w:r>
        <w:rPr>
          <w:rFonts w:hint="eastAsia"/>
          <w:lang w:val="en-US" w:eastAsia="zh-CN"/>
        </w:rPr>
        <w:br w:type="page"/>
      </w:r>
    </w:p>
    <w:p w14:paraId="1768EFEE">
      <w:pPr>
        <w:pStyle w:val="2"/>
        <w:bidi w:val="0"/>
        <w:rPr>
          <w:rFonts w:hint="eastAsia"/>
          <w:lang w:val="en-US" w:eastAsia="zh-CN"/>
        </w:rPr>
      </w:pPr>
      <w:bookmarkStart w:id="69" w:name="_Toc15730"/>
      <w:r>
        <w:rPr>
          <w:rFonts w:hint="eastAsia"/>
          <w:lang w:val="en-US" w:eastAsia="zh-CN"/>
        </w:rPr>
        <w:t>《岗位实习二》课程标准</w:t>
      </w:r>
      <w:bookmarkEnd w:id="68"/>
      <w:bookmarkEnd w:id="69"/>
    </w:p>
    <w:p w14:paraId="2FAE080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8"/>
        <w:gridCol w:w="1724"/>
        <w:gridCol w:w="990"/>
        <w:gridCol w:w="1054"/>
        <w:gridCol w:w="3298"/>
      </w:tblGrid>
      <w:tr w14:paraId="3AB9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F36073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5B852C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highlight w:val="none"/>
                <w:lang w:val="en-US" w:eastAsia="zh-CN"/>
              </w:rPr>
              <w:t>岗位实习</w:t>
            </w:r>
          </w:p>
        </w:tc>
        <w:tc>
          <w:tcPr>
            <w:tcW w:w="975" w:type="dxa"/>
            <w:tcBorders>
              <w:top w:val="single" w:color="auto" w:sz="4" w:space="0"/>
              <w:left w:val="single" w:color="auto" w:sz="4" w:space="0"/>
              <w:bottom w:val="single" w:color="auto" w:sz="4" w:space="0"/>
              <w:right w:val="single" w:color="auto" w:sz="4" w:space="0"/>
            </w:tcBorders>
            <w:vAlign w:val="center"/>
          </w:tcPr>
          <w:p w14:paraId="6D651718">
            <w:pPr>
              <w:pStyle w:val="16"/>
              <w:spacing w:before="0" w:beforeAutospacing="0" w:after="0" w:afterAutospacing="0"/>
              <w:ind w:right="-117" w:rightChars="0"/>
              <w:jc w:val="center"/>
              <w:rPr>
                <w:rFonts w:ascii="宋体" w:hAnsi="宋体" w:eastAsia="宋体"/>
                <w:b/>
                <w:bCs/>
                <w:color w:val="auto"/>
                <w:sz w:val="21"/>
                <w:szCs w:val="21"/>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B145334">
            <w:pPr>
              <w:pStyle w:val="16"/>
              <w:spacing w:before="0" w:beforeAutospacing="0" w:after="0" w:afterAutospacing="0"/>
              <w:ind w:right="-145" w:rightChars="0"/>
              <w:jc w:val="center"/>
              <w:rPr>
                <w:rFonts w:hint="default" w:ascii="宋体" w:hAnsi="宋体" w:eastAsia="宋体"/>
                <w:color w:val="FF0000"/>
                <w:sz w:val="21"/>
                <w:szCs w:val="21"/>
                <w:lang w:val="en-US" w:eastAsia="zh-CN"/>
              </w:rPr>
            </w:pPr>
            <w:r>
              <w:rPr>
                <w:rFonts w:hint="eastAsia" w:ascii="宋体" w:hAnsi="宋体" w:eastAsia="宋体"/>
                <w:color w:val="auto"/>
                <w:sz w:val="21"/>
                <w:szCs w:val="21"/>
                <w:highlight w:val="none"/>
                <w:lang w:val="en-US" w:eastAsia="zh-CN"/>
              </w:rPr>
              <w:t>xcxm2403501</w:t>
            </w:r>
          </w:p>
        </w:tc>
      </w:tr>
      <w:tr w14:paraId="4A2D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79BE4E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0" w:type="dxa"/>
            <w:tcBorders>
              <w:top w:val="single" w:color="auto" w:sz="4" w:space="0"/>
              <w:left w:val="single" w:color="auto" w:sz="4" w:space="0"/>
              <w:bottom w:val="single" w:color="auto" w:sz="4" w:space="0"/>
              <w:right w:val="single" w:color="auto" w:sz="4" w:space="0"/>
            </w:tcBorders>
            <w:vAlign w:val="top"/>
          </w:tcPr>
          <w:p w14:paraId="6077C607">
            <w:pPr>
              <w:jc w:val="center"/>
              <w:rPr>
                <w:rFonts w:hint="default" w:eastAsiaTheme="minorEastAsia"/>
                <w:lang w:val="en-US" w:eastAsia="zh-CN"/>
              </w:rPr>
            </w:pPr>
            <w:r>
              <w:rPr>
                <w:rFonts w:hint="eastAsia"/>
                <w:color w:val="auto"/>
                <w:highlight w:val="none"/>
                <w:lang w:val="en-US" w:eastAsia="zh-CN"/>
              </w:rPr>
              <w:t>416学时</w:t>
            </w:r>
          </w:p>
        </w:tc>
        <w:tc>
          <w:tcPr>
            <w:tcW w:w="1595" w:type="dxa"/>
            <w:tcBorders>
              <w:top w:val="single" w:color="auto" w:sz="4" w:space="0"/>
              <w:left w:val="single" w:color="auto" w:sz="4" w:space="0"/>
              <w:bottom w:val="single" w:color="auto" w:sz="4" w:space="0"/>
              <w:right w:val="single" w:color="auto" w:sz="4" w:space="0"/>
            </w:tcBorders>
            <w:vAlign w:val="top"/>
          </w:tcPr>
          <w:p w14:paraId="7948A24F">
            <w:pPr>
              <w:jc w:val="both"/>
              <w:rPr>
                <w:rFonts w:hint="eastAsia"/>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6" w:type="dxa"/>
            <w:tcBorders>
              <w:top w:val="single" w:color="auto" w:sz="4" w:space="0"/>
              <w:left w:val="single" w:color="auto" w:sz="4" w:space="0"/>
              <w:bottom w:val="single" w:color="auto" w:sz="4" w:space="0"/>
              <w:right w:val="single" w:color="auto" w:sz="4" w:space="0"/>
            </w:tcBorders>
            <w:vAlign w:val="top"/>
          </w:tcPr>
          <w:p w14:paraId="4E127AF5">
            <w:pPr>
              <w:jc w:val="center"/>
              <w:rPr>
                <w:rFonts w:hint="eastAsia"/>
                <w:lang w:val="en-US" w:eastAsia="zh-CN"/>
              </w:rPr>
            </w:pPr>
            <w:r>
              <w:rPr>
                <w:rFonts w:hint="eastAsia"/>
                <w:color w:val="auto"/>
                <w:highlight w:val="none"/>
                <w:lang w:val="en-US" w:eastAsia="zh-CN"/>
              </w:rPr>
              <w:t>416学时</w:t>
            </w:r>
          </w:p>
        </w:tc>
        <w:tc>
          <w:tcPr>
            <w:tcW w:w="975" w:type="dxa"/>
            <w:tcBorders>
              <w:top w:val="single" w:color="auto" w:sz="4" w:space="0"/>
              <w:left w:val="single" w:color="auto" w:sz="4" w:space="0"/>
              <w:bottom w:val="single" w:color="auto" w:sz="4" w:space="0"/>
              <w:right w:val="single" w:color="auto" w:sz="4" w:space="0"/>
            </w:tcBorders>
            <w:vAlign w:val="center"/>
          </w:tcPr>
          <w:p w14:paraId="30B3189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CE28F9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highlight w:val="none"/>
                <w:lang w:val="en-US" w:eastAsia="zh-CN" w:bidi="ar-SA"/>
              </w:rPr>
              <w:t>8学分</w:t>
            </w:r>
          </w:p>
        </w:tc>
      </w:tr>
      <w:tr w14:paraId="3CC1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42291B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vAlign w:val="top"/>
          </w:tcPr>
          <w:p w14:paraId="62B6920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畜牧兽医</w:t>
            </w:r>
          </w:p>
        </w:tc>
      </w:tr>
      <w:tr w14:paraId="2BF2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0867AB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54AD3B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Arial" w:hAnsi="Arial" w:eastAsia="宋体" w:cs="Arial"/>
                <w:color w:val="auto"/>
                <w:highlight w:val="none"/>
                <w:lang w:val="en-US" w:eastAsia="zh-CN"/>
              </w:rPr>
              <w:t>专业基础课</w:t>
            </w:r>
            <w:r>
              <w:rPr>
                <w:rFonts w:hint="eastAsia"/>
                <w:color w:val="auto"/>
                <w:highlight w:val="none"/>
              </w:rPr>
              <w:t>□</w:t>
            </w:r>
            <w:r>
              <w:rPr>
                <w:rFonts w:hint="eastAsia"/>
                <w:color w:val="auto"/>
                <w:highlight w:val="none"/>
                <w:lang w:val="en-US" w:eastAsia="zh-CN"/>
              </w:rPr>
              <w:t>专业核心课</w:t>
            </w:r>
            <w:r>
              <w:rPr>
                <w:rFonts w:hint="eastAsia"/>
                <w:color w:val="auto"/>
                <w:highlight w:val="none"/>
              </w:rPr>
              <w:t>□</w:t>
            </w:r>
            <w:r>
              <w:rPr>
                <w:rFonts w:hint="eastAsia"/>
                <w:color w:val="auto"/>
                <w:highlight w:val="none"/>
                <w:lang w:val="en-US" w:eastAsia="zh-CN"/>
              </w:rPr>
              <w:t>专业选修课</w:t>
            </w:r>
            <w:r>
              <w:rPr>
                <w:rFonts w:hint="eastAsia"/>
                <w:color w:val="auto"/>
                <w:highlight w:val="none"/>
                <w:lang w:eastAsia="zh-CN"/>
              </w:rPr>
              <w:t>☑</w:t>
            </w:r>
            <w:r>
              <w:rPr>
                <w:rFonts w:hint="eastAsia"/>
                <w:color w:val="auto"/>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FA2C50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52317EF">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理论课</w:t>
            </w: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理实一体</w:t>
            </w:r>
          </w:p>
          <w:p w14:paraId="1B2BDAA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集中性实践环节</w:t>
            </w:r>
          </w:p>
        </w:tc>
      </w:tr>
      <w:tr w14:paraId="261D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2F5696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9E1B082">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bCs/>
                <w:color w:val="auto"/>
                <w:sz w:val="21"/>
                <w:szCs w:val="21"/>
                <w:highlight w:val="none"/>
                <w:lang w:val="en-US" w:eastAsia="zh-CN"/>
              </w:rPr>
              <w:t>养禽与禽病防治实训 养猪与猪病防治实训 动物临床诊疗实训 畜牧基础综合实训</w:t>
            </w:r>
          </w:p>
        </w:tc>
      </w:tr>
      <w:tr w14:paraId="5481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85FA87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B23CFA8">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bCs/>
                <w:color w:val="auto"/>
                <w:sz w:val="21"/>
                <w:szCs w:val="21"/>
                <w:highlight w:val="none"/>
                <w:lang w:val="en-US" w:eastAsia="zh-CN"/>
              </w:rPr>
              <w:t>无（为毕业前综合实践环节）</w:t>
            </w:r>
          </w:p>
        </w:tc>
      </w:tr>
      <w:tr w14:paraId="7D25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8A5190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B373501">
            <w:pPr>
              <w:jc w:val="center"/>
              <w:rPr>
                <w:rFonts w:ascii="Arial" w:hAnsi="Arial" w:eastAsia="宋体" w:cs="Arial"/>
                <w:kern w:val="2"/>
                <w:sz w:val="21"/>
                <w:szCs w:val="24"/>
                <w:lang w:val="en-US" w:eastAsia="zh-CN" w:bidi="ar-SA"/>
              </w:rPr>
            </w:pPr>
            <w:r>
              <w:rPr>
                <w:rFonts w:hint="eastAsia" w:ascii="宋体" w:hAnsi="宋体" w:eastAsia="宋体" w:cs="Arial Unicode MS"/>
                <w:bCs/>
                <w:color w:val="auto"/>
                <w:kern w:val="0"/>
                <w:sz w:val="21"/>
                <w:szCs w:val="21"/>
                <w:highlight w:val="none"/>
                <w:lang w:val="en-US" w:eastAsia="zh-CN" w:bidi="ar-SA"/>
              </w:rPr>
              <w:t>无指定教材，以企业岗位操作规程、生产技术手册为核心教学资料</w:t>
            </w:r>
          </w:p>
        </w:tc>
      </w:tr>
      <w:tr w14:paraId="6C71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8EDD61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B77A845">
            <w:pPr>
              <w:widowControl/>
              <w:jc w:val="center"/>
              <w:rPr>
                <w:rFonts w:hint="eastAsia"/>
              </w:rPr>
            </w:pPr>
            <w:r>
              <w:rPr>
                <w:rFonts w:hint="eastAsia"/>
                <w:color w:val="auto"/>
                <w:highlight w:val="none"/>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2C5D308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5F0B81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5090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D3EFE6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3AFC6ED">
            <w:pPr>
              <w:widowControl/>
              <w:jc w:val="center"/>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2A064F4A">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4C30A9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rPr>
              <w:t>2025年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5C67E44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0E00F68">
      <w:pPr>
        <w:pStyle w:val="3"/>
        <w:bidi w:val="0"/>
        <w:rPr>
          <w:rFonts w:hint="eastAsia"/>
          <w:lang w:val="en-US" w:eastAsia="zh-CN"/>
        </w:rPr>
      </w:pPr>
      <w:r>
        <w:rPr>
          <w:rFonts w:hint="eastAsia"/>
          <w:lang w:val="en-US" w:eastAsia="zh-CN"/>
        </w:rPr>
        <w:t>二、课程定位</w:t>
      </w:r>
    </w:p>
    <w:p w14:paraId="3AEB7B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必修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岗位实习一</w:t>
      </w:r>
      <w:r>
        <w:rPr>
          <w:rFonts w:hint="eastAsia" w:asciiTheme="minorEastAsia" w:hAnsiTheme="minorEastAsia" w:eastAsiaTheme="minorEastAsia" w:cstheme="minorEastAsia"/>
          <w:sz w:val="24"/>
          <w:szCs w:val="24"/>
          <w:lang w:val="en-US" w:eastAsia="zh-CN"/>
        </w:rPr>
        <w:t>基础上开设的一门</w:t>
      </w:r>
      <w:r>
        <w:rPr>
          <w:rFonts w:hint="eastAsia" w:asciiTheme="minorEastAsia" w:hAnsiTheme="minorEastAsia" w:cstheme="minorEastAsia"/>
          <w:sz w:val="24"/>
          <w:szCs w:val="24"/>
          <w:lang w:val="en-US" w:eastAsia="zh-CN"/>
        </w:rPr>
        <w:t>生产岗位</w:t>
      </w:r>
      <w:r>
        <w:rPr>
          <w:rFonts w:hint="eastAsia" w:asciiTheme="minorEastAsia" w:hAnsiTheme="minorEastAsia" w:eastAsiaTheme="minorEastAsia" w:cstheme="minorEastAsia"/>
          <w:sz w:val="24"/>
          <w:szCs w:val="24"/>
          <w:lang w:val="en-US" w:eastAsia="zh-CN"/>
        </w:rPr>
        <w:t>实践的课程，对接专业人才培养目标，面向</w:t>
      </w:r>
      <w:r>
        <w:rPr>
          <w:rFonts w:hint="eastAsia" w:asciiTheme="minorEastAsia" w:hAnsiTheme="minorEastAsia" w:cstheme="minorEastAsia"/>
          <w:sz w:val="24"/>
          <w:szCs w:val="24"/>
          <w:lang w:val="en-US" w:eastAsia="zh-CN"/>
        </w:rPr>
        <w:t>临床兽医、畜牧养殖、饲料生产</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畜牧兽医</w:t>
      </w:r>
      <w:r>
        <w:rPr>
          <w:rFonts w:hint="eastAsia" w:asciiTheme="minorEastAsia" w:hAnsiTheme="minorEastAsia" w:eastAsiaTheme="minorEastAsia" w:cstheme="minorEastAsia"/>
          <w:sz w:val="24"/>
          <w:szCs w:val="24"/>
          <w:lang w:val="en-US" w:eastAsia="zh-CN"/>
        </w:rPr>
        <w:t>职业素质。同时，将课程思政内容融入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78C76553">
      <w:pPr>
        <w:pStyle w:val="3"/>
        <w:bidi w:val="0"/>
        <w:rPr>
          <w:rFonts w:hint="eastAsia"/>
          <w:lang w:val="en-US" w:eastAsia="zh-CN"/>
        </w:rPr>
      </w:pPr>
      <w:r>
        <w:rPr>
          <w:rFonts w:hint="eastAsia"/>
          <w:lang w:val="en-US" w:eastAsia="zh-CN"/>
        </w:rPr>
        <w:t>三、课程设计思路</w:t>
      </w:r>
    </w:p>
    <w:p w14:paraId="2AE8BE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本课程立足畜牧兽医行业岗位需求，以“岗课赛证”融合为导向，坚持“实践育人、思政铸魂”的原则，构建“校企双主体育人、岗位真实历练、能力逐级提升”的实习课程体系。</w:t>
      </w:r>
    </w:p>
    <w:p w14:paraId="414354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岗位导向，任务驱动：对接畜禽养殖技术员、兽医防治员、繁育技术员、饲料与兽药技术员等核心岗位，将岗位典型工作任务转化为实习学习任务，让学生在真实养殖、诊疗场景中完成从理论到实践的转化。</w:t>
      </w:r>
    </w:p>
    <w:p w14:paraId="3F2EB2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校企协同，双师指导：联合规模化养殖企业、动物诊疗机构共建实习基地，校内专业教师与企业技术骨干共同担任指导教师，共同制定实习计划、实施过程指导、开展考核评价。</w:t>
      </w:r>
    </w:p>
    <w:p w14:paraId="0EBA95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能力递进，分层培养：按照“认知实习→专项实习→综合实习”三个阶段设计实习内容，从岗位认知、基础技能操作逐步过渡到综合生产管理与疾病防控，实现学生职业能力的阶梯式提升。</w:t>
      </w:r>
    </w:p>
    <w:p w14:paraId="7B6CA6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思政融入，素养并重：将职业道德、安全生产、生态环保、乡村振兴等思政元素融入实习全过程，在实践中培养学生的职业素养和社会责任感。</w:t>
      </w:r>
    </w:p>
    <w:p w14:paraId="65343770">
      <w:pPr>
        <w:pStyle w:val="3"/>
        <w:bidi w:val="0"/>
        <w:rPr>
          <w:rFonts w:hint="eastAsia"/>
          <w:lang w:val="en-US" w:eastAsia="zh-CN"/>
        </w:rPr>
      </w:pPr>
      <w:r>
        <w:rPr>
          <w:rFonts w:hint="eastAsia"/>
          <w:lang w:val="en-US" w:eastAsia="zh-CN"/>
        </w:rPr>
        <w:t>四、课程目标</w:t>
      </w:r>
    </w:p>
    <w:p w14:paraId="636AED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43B73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1.掌握畜禽规模化养殖场的选址布局、环境卫生控制、饲养管理规程等生产管理知识。</w:t>
      </w:r>
    </w:p>
    <w:p w14:paraId="3998FE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掌握常见畜禽品种的选育、繁殖配种、妊娠诊断、接产助产等繁育技术知识。</w:t>
      </w:r>
    </w:p>
    <w:p w14:paraId="7E698B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掌握畜禽常见传染病、寄生虫病、普通病的临床症状、诊断方法、防治措施等诊疗知识。</w:t>
      </w:r>
    </w:p>
    <w:p w14:paraId="31060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掌握饲料配方设计、饲料储存与质量鉴别、兽药合理使用与休药期控制等相关知识。</w:t>
      </w:r>
    </w:p>
    <w:p w14:paraId="43EFF5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熟悉畜牧兽医相关法律法规，包括《中华人民共和国动物防疫法》《兽药管理条例》《畜禽规模养殖污染防治条例》等</w:t>
      </w:r>
      <w:r>
        <w:rPr>
          <w:rFonts w:hint="eastAsia" w:asciiTheme="minorEastAsia" w:hAnsiTheme="minorEastAsia" w:cstheme="minorEastAsia"/>
          <w:sz w:val="24"/>
          <w:szCs w:val="24"/>
          <w:lang w:val="en-US" w:eastAsia="zh-CN"/>
        </w:rPr>
        <w:t>。</w:t>
      </w:r>
    </w:p>
    <w:p w14:paraId="503104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47948D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1.生产操作能力：能独立完成畜禽的饲喂、饮水、清粪、环境消毒、体温测量、体重称量等日常生产操作；能规范进行畜禽的引种、分群、转群等工作。</w:t>
      </w:r>
    </w:p>
    <w:p w14:paraId="17E19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繁育操作能力：能完成发情鉴定、人工授精、妊娠诊断、接产助产、初生仔畜护理等繁育技术操作。</w:t>
      </w:r>
    </w:p>
    <w:p w14:paraId="712668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疾病诊疗能力：能识别畜禽常见疾病的典型症状，能规范采集病料、进行药敏试验，能合理选用药物进行预防和治疗；能正确使用体温计、听诊器、注射器等常用诊疗器械。</w:t>
      </w:r>
    </w:p>
    <w:p w14:paraId="7D230C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综合管理能力：能协助制定养殖场的饲养管理方案、防疫消毒计划；能对养殖生产数据进行记录、整理与分析；能处理养殖场常见的生产应急问题。</w:t>
      </w:r>
    </w:p>
    <w:p w14:paraId="6988C5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职业发展能力：能运用所学知识解决生产实际问题，具备自主学习新技术、新方法的能力；能撰写实习报告和技术总结。</w:t>
      </w:r>
    </w:p>
    <w:p w14:paraId="5B0155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720ECD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1.具备吃苦耐劳、爱岗敬业的职业精神，能适应养殖场、诊疗机构的工作环境和作息要求。</w:t>
      </w:r>
    </w:p>
    <w:p w14:paraId="01DBA1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具备严谨细致、精益求精的工作态度，在生产操作和诊疗过程中注重细节、规范流程。</w:t>
      </w:r>
    </w:p>
    <w:p w14:paraId="5FE23C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具备团队协作意识和沟通能力，能与养殖人员、技术人员有效协作完成工作任务。</w:t>
      </w:r>
    </w:p>
    <w:p w14:paraId="1E4E5C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具备安全生产意识和环保意识，严格遵守操作规程，注重养殖废弃物的无害化处理。</w:t>
      </w:r>
    </w:p>
    <w:p w14:paraId="3FB15D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513E51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树立“科技兴农、强农有我”的信念，增强服务畜牧业高质量发展和乡村振兴的责任感。</w:t>
      </w:r>
    </w:p>
    <w:p w14:paraId="3BD5CB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培养“敬畏生命、守护健康”的职业操守，遵守动物防疫和兽药使用相关法律法规，拒绝使用违禁药物。</w:t>
      </w:r>
    </w:p>
    <w:p w14:paraId="425B72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强化“绿色养殖、生态优先”的理念，践行畜禽养殖污染防治要求，推动畜牧业绿色可持续发展。</w:t>
      </w:r>
    </w:p>
    <w:p w14:paraId="4574E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弘扬“精益求精、追求卓越”的工匠精神，在实践中锤炼专业技能，立志成为高素质畜牧兽医技术技能人才。</w:t>
      </w:r>
    </w:p>
    <w:p w14:paraId="33E2051B">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1762"/>
        <w:gridCol w:w="1789"/>
        <w:gridCol w:w="1655"/>
        <w:gridCol w:w="1362"/>
        <w:gridCol w:w="690"/>
      </w:tblGrid>
      <w:tr w14:paraId="4D20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Align w:val="center"/>
          </w:tcPr>
          <w:p w14:paraId="5C8B37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5010E4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894" w:type="pct"/>
            <w:vAlign w:val="center"/>
          </w:tcPr>
          <w:p w14:paraId="7A4882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908" w:type="pct"/>
            <w:vAlign w:val="center"/>
          </w:tcPr>
          <w:p w14:paraId="20F2D3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840" w:type="pct"/>
            <w:vAlign w:val="center"/>
          </w:tcPr>
          <w:p w14:paraId="33F95E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691" w:type="pct"/>
            <w:vAlign w:val="center"/>
          </w:tcPr>
          <w:p w14:paraId="25B09F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50" w:type="pct"/>
            <w:vAlign w:val="center"/>
          </w:tcPr>
          <w:p w14:paraId="0A677C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4DE4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Align w:val="center"/>
          </w:tcPr>
          <w:p w14:paraId="2B1419A9">
            <w:pPr>
              <w:keepNext w:val="0"/>
              <w:keepLines w:val="0"/>
              <w:widowControl/>
              <w:suppressLineNumbers w:val="0"/>
              <w:pBdr>
                <w:top w:val="none" w:color="auto" w:sz="0" w:space="0"/>
                <w:left w:val="none" w:color="auto" w:sz="0" w:space="0"/>
                <w:bottom w:val="none" w:color="auto" w:sz="0" w:space="0"/>
                <w:right w:val="none" w:color="auto" w:sz="0" w:space="0"/>
              </w:pBdr>
              <w:snapToGrid w:val="0"/>
              <w:jc w:val="center"/>
              <w:textAlignment w:val="top"/>
              <w:rPr>
                <w:rFonts w:hint="eastAsia" w:ascii="宋体" w:hAnsi="宋体" w:eastAsia="宋体" w:cs="宋体"/>
                <w:sz w:val="21"/>
                <w:szCs w:val="21"/>
                <w:lang w:val="en-US" w:eastAsia="zh-CN"/>
              </w:rPr>
            </w:pPr>
            <w:r>
              <w:rPr>
                <w:rStyle w:val="30"/>
                <w:rFonts w:ascii="宋体" w:hAnsi="宋体" w:eastAsia="宋体" w:cs="宋体"/>
                <w:kern w:val="0"/>
                <w:sz w:val="21"/>
                <w:szCs w:val="21"/>
                <w:lang w:val="en-US" w:eastAsia="zh-CN" w:bidi="ar"/>
              </w:rPr>
              <w:t>情景一：认知实习（36学时）</w:t>
            </w:r>
          </w:p>
        </w:tc>
        <w:tc>
          <w:tcPr>
            <w:tcW w:w="894" w:type="pct"/>
            <w:vAlign w:val="center"/>
          </w:tcPr>
          <w:p w14:paraId="0A38E1C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畜牧兽医行业现状、岗位体系认知</w:t>
            </w:r>
          </w:p>
          <w:p w14:paraId="7F91309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实习基地规章制度、安全规范学习</w:t>
            </w:r>
          </w:p>
          <w:p w14:paraId="7093C5B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养殖场/诊疗机构/兽药饲料企业布局与设施认知</w:t>
            </w:r>
          </w:p>
          <w:p w14:paraId="07B4056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 行业政策与法律法规入门学习</w:t>
            </w:r>
          </w:p>
        </w:tc>
        <w:tc>
          <w:tcPr>
            <w:tcW w:w="908" w:type="pct"/>
            <w:vAlign w:val="center"/>
          </w:tcPr>
          <w:p w14:paraId="498818C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行业发展趋势、核心岗位职责与能力要求</w:t>
            </w:r>
          </w:p>
          <w:p w14:paraId="5B670CC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实习劳动纪律、安全生产操作规程</w:t>
            </w:r>
          </w:p>
          <w:p w14:paraId="3C069A2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养殖场功能分区、诊疗机构科室设置、企业生产流程</w:t>
            </w:r>
          </w:p>
          <w:p w14:paraId="51A3D6A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养殖设备、诊疗器械、检测设备的种类与用途</w:t>
            </w:r>
          </w:p>
          <w:p w14:paraId="10A9E30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《动物防疫法》核心条款解读</w:t>
            </w:r>
          </w:p>
        </w:tc>
        <w:tc>
          <w:tcPr>
            <w:tcW w:w="840" w:type="pct"/>
            <w:vAlign w:val="center"/>
          </w:tcPr>
          <w:p w14:paraId="7FB2586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识别各类场所功能分区与核心设备</w:t>
            </w:r>
          </w:p>
          <w:p w14:paraId="4FB173E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规范穿戴劳动防护用品，掌握基础安全技能</w:t>
            </w:r>
          </w:p>
          <w:p w14:paraId="1ECE15F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撰写岗位认知报告与安全承诺书</w:t>
            </w:r>
          </w:p>
          <w:p w14:paraId="2DD8CF9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4. 简述行业政策对产业发展的支撑作用</w:t>
            </w:r>
          </w:p>
        </w:tc>
        <w:tc>
          <w:tcPr>
            <w:tcW w:w="691" w:type="pct"/>
            <w:vAlign w:val="center"/>
          </w:tcPr>
          <w:p w14:paraId="0AA4A2F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劳动纪律教育、安全生产意识</w:t>
            </w:r>
          </w:p>
          <w:p w14:paraId="6AEAB0B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行业使命感与职业认同感</w:t>
            </w:r>
          </w:p>
          <w:p w14:paraId="4951147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 乡村振兴战略下畜牧业的发展机遇</w:t>
            </w:r>
          </w:p>
        </w:tc>
        <w:tc>
          <w:tcPr>
            <w:tcW w:w="350" w:type="pct"/>
            <w:vAlign w:val="center"/>
          </w:tcPr>
          <w:p w14:paraId="2A1CBA3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36</w:t>
            </w:r>
          </w:p>
        </w:tc>
      </w:tr>
      <w:tr w14:paraId="538A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Merge w:val="restart"/>
            <w:vAlign w:val="center"/>
          </w:tcPr>
          <w:p w14:paraId="26A28D8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Style w:val="30"/>
                <w:rFonts w:ascii="宋体" w:hAnsi="宋体" w:eastAsia="宋体" w:cs="宋体"/>
                <w:kern w:val="0"/>
                <w:sz w:val="21"/>
                <w:szCs w:val="21"/>
                <w:lang w:val="en-US" w:eastAsia="zh-CN" w:bidi="ar"/>
              </w:rPr>
              <w:t>情景二：专项实习（240学时）</w:t>
            </w:r>
          </w:p>
        </w:tc>
        <w:tc>
          <w:tcPr>
            <w:tcW w:w="894" w:type="pct"/>
            <w:vAlign w:val="center"/>
          </w:tcPr>
          <w:p w14:paraId="78871F1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Style w:val="30"/>
                <w:rFonts w:ascii="宋体" w:hAnsi="宋体" w:eastAsia="宋体" w:cs="宋体"/>
                <w:kern w:val="0"/>
                <w:sz w:val="21"/>
                <w:szCs w:val="21"/>
                <w:lang w:val="en-US" w:eastAsia="zh-CN" w:bidi="ar"/>
              </w:rPr>
              <w:t>任务1：畜禽日常饲养管理（60学时）</w:t>
            </w:r>
          </w:p>
          <w:p w14:paraId="6BA4BE2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常见畜禽品种识别、分群与引种验收</w:t>
            </w:r>
          </w:p>
          <w:p w14:paraId="57F9C13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不同生长阶段畜禽饲喂方案执行与调整</w:t>
            </w:r>
          </w:p>
          <w:p w14:paraId="4EC4B25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养殖场环境调控（温湿度、通风、光照）</w:t>
            </w:r>
          </w:p>
          <w:p w14:paraId="676EDE4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环境卫生清理与消毒防疫</w:t>
            </w:r>
          </w:p>
          <w:p w14:paraId="19A9758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养殖废弃物无害化处理</w:t>
            </w:r>
          </w:p>
        </w:tc>
        <w:tc>
          <w:tcPr>
            <w:tcW w:w="908" w:type="pct"/>
            <w:vAlign w:val="center"/>
          </w:tcPr>
          <w:p w14:paraId="5085870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猪、牛、羊、禽等常见品种特征与品种改良知识</w:t>
            </w:r>
          </w:p>
          <w:p w14:paraId="04BEE44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不同生长阶段畜禽营养需求与饲喂原则</w:t>
            </w:r>
          </w:p>
          <w:p w14:paraId="316ED41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饲料感官鉴别、储存方法与质量控制要点</w:t>
            </w:r>
          </w:p>
          <w:p w14:paraId="233E51B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消毒药种类、配比、使用方法与消毒频率</w:t>
            </w:r>
          </w:p>
          <w:p w14:paraId="12238C5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环境调控参数与养殖废弃物处理技术规范</w:t>
            </w:r>
          </w:p>
        </w:tc>
        <w:tc>
          <w:tcPr>
            <w:tcW w:w="840" w:type="pct"/>
            <w:vAlign w:val="center"/>
          </w:tcPr>
          <w:p w14:paraId="6CB791E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精准识别常见畜禽品种，规范完成分群与引种验收</w:t>
            </w:r>
          </w:p>
          <w:p w14:paraId="50ECD57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按规程投喂饲料、清理料槽水槽，记录采食饮水情况</w:t>
            </w:r>
          </w:p>
          <w:p w14:paraId="4CA9C4A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调节温湿度、通风设备，优化养殖环境</w:t>
            </w:r>
          </w:p>
          <w:p w14:paraId="50DEC57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配制消毒药，对场地、器械进行全方位消毒</w:t>
            </w:r>
          </w:p>
          <w:p w14:paraId="0D185C1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按标准处理粪污、废弃物，践行环保要求</w:t>
            </w:r>
          </w:p>
        </w:tc>
        <w:tc>
          <w:tcPr>
            <w:tcW w:w="691" w:type="pct"/>
            <w:vAlign w:val="center"/>
          </w:tcPr>
          <w:p w14:paraId="29EEB60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爱岗敬业、严谨负责的职业态度</w:t>
            </w:r>
          </w:p>
          <w:p w14:paraId="446423F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规范操作意识与质量管控意识</w:t>
            </w:r>
          </w:p>
          <w:p w14:paraId="6C86087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 绿色养殖、生态环保理念</w:t>
            </w:r>
          </w:p>
        </w:tc>
        <w:tc>
          <w:tcPr>
            <w:tcW w:w="350" w:type="pct"/>
            <w:vAlign w:val="center"/>
          </w:tcPr>
          <w:p w14:paraId="5C7EE88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60</w:t>
            </w:r>
          </w:p>
        </w:tc>
      </w:tr>
      <w:tr w14:paraId="61FD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Merge w:val="continue"/>
            <w:vAlign w:val="center"/>
          </w:tcPr>
          <w:p w14:paraId="7523333F">
            <w:pPr>
              <w:snapToGrid w:val="0"/>
              <w:ind w:left="0" w:leftChars="0" w:right="0" w:rightChars="0" w:firstLine="0" w:firstLineChars="0"/>
              <w:jc w:val="center"/>
              <w:rPr>
                <w:rFonts w:hint="eastAsia" w:ascii="宋体" w:hAnsi="宋体" w:eastAsia="宋体" w:cs="宋体"/>
                <w:sz w:val="21"/>
                <w:szCs w:val="21"/>
                <w:lang w:val="en-US" w:eastAsia="zh-CN"/>
              </w:rPr>
            </w:pPr>
          </w:p>
        </w:tc>
        <w:tc>
          <w:tcPr>
            <w:tcW w:w="894" w:type="pct"/>
            <w:vAlign w:val="center"/>
          </w:tcPr>
          <w:p w14:paraId="2975D7D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Style w:val="30"/>
                <w:rFonts w:ascii="宋体" w:hAnsi="宋体" w:eastAsia="宋体" w:cs="宋体"/>
                <w:kern w:val="0"/>
                <w:sz w:val="21"/>
                <w:szCs w:val="21"/>
                <w:lang w:val="en-US" w:eastAsia="zh-CN" w:bidi="ar"/>
              </w:rPr>
              <w:t>任务2：畜禽繁育技术操作（60学时）</w:t>
            </w:r>
          </w:p>
          <w:p w14:paraId="48BAB57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畜禽发情鉴定与发情周期调控</w:t>
            </w:r>
          </w:p>
          <w:p w14:paraId="7AD5B07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人工授精技术（采精、精液处理、输精）</w:t>
            </w:r>
          </w:p>
          <w:p w14:paraId="02699DA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妊娠诊断与孕期管理</w:t>
            </w:r>
          </w:p>
          <w:p w14:paraId="7ACF2B8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接产助产与产后护理</w:t>
            </w:r>
          </w:p>
          <w:p w14:paraId="7F29D3F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初生仔畜培育与应激防控</w:t>
            </w:r>
          </w:p>
        </w:tc>
        <w:tc>
          <w:tcPr>
            <w:tcW w:w="908" w:type="pct"/>
            <w:vAlign w:val="center"/>
          </w:tcPr>
          <w:p w14:paraId="190D792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畜禽发情周期特点、发情症状与鉴定方法</w:t>
            </w:r>
          </w:p>
          <w:p w14:paraId="3AD01CF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人工授精器械消毒、精液采集与品质检测知识</w:t>
            </w:r>
          </w:p>
          <w:p w14:paraId="728C64B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妊娠诊断方法（外部观察法、直肠检查法等）</w:t>
            </w:r>
          </w:p>
          <w:p w14:paraId="21F4541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接产时机判断、助产操作要点与产后护理规程</w:t>
            </w:r>
          </w:p>
          <w:p w14:paraId="6F9AF86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仔畜保温、开食、断乳技术与应激防控措施</w:t>
            </w:r>
          </w:p>
        </w:tc>
        <w:tc>
          <w:tcPr>
            <w:tcW w:w="840" w:type="pct"/>
            <w:vAlign w:val="center"/>
          </w:tcPr>
          <w:p w14:paraId="3492E70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用试情法、外部观察法规范完成发情鉴定</w:t>
            </w:r>
          </w:p>
          <w:p w14:paraId="2EB9EBF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熟练操作人工授精全流程，确保操作规范</w:t>
            </w:r>
          </w:p>
          <w:p w14:paraId="689C403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运用合适方法进行妊娠诊断，区分妊娠与空怀</w:t>
            </w:r>
          </w:p>
          <w:p w14:paraId="06AA488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独立完成接产助产，处理仔畜窒息等突发情况</w:t>
            </w:r>
          </w:p>
          <w:p w14:paraId="5E4818C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制定仔畜培育方案并执行，记录生长数据</w:t>
            </w:r>
          </w:p>
        </w:tc>
        <w:tc>
          <w:tcPr>
            <w:tcW w:w="691" w:type="pct"/>
            <w:vAlign w:val="center"/>
          </w:tcPr>
          <w:p w14:paraId="418D76D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敬畏生命的职业操守</w:t>
            </w:r>
          </w:p>
          <w:p w14:paraId="223AE9C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精益求精的工匠精神</w:t>
            </w:r>
          </w:p>
          <w:p w14:paraId="2D276CA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 严谨细致的工作态度</w:t>
            </w:r>
          </w:p>
        </w:tc>
        <w:tc>
          <w:tcPr>
            <w:tcW w:w="350" w:type="pct"/>
            <w:vAlign w:val="center"/>
          </w:tcPr>
          <w:p w14:paraId="03F6894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60</w:t>
            </w:r>
          </w:p>
        </w:tc>
      </w:tr>
      <w:tr w14:paraId="7DEF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Merge w:val="continue"/>
            <w:vAlign w:val="center"/>
          </w:tcPr>
          <w:p w14:paraId="381446CB">
            <w:pPr>
              <w:snapToGrid w:val="0"/>
              <w:ind w:left="0" w:leftChars="0" w:right="0" w:rightChars="0" w:firstLine="0" w:firstLineChars="0"/>
              <w:jc w:val="center"/>
              <w:rPr>
                <w:rFonts w:hint="eastAsia" w:ascii="宋体" w:hAnsi="宋体" w:eastAsia="宋体" w:cs="宋体"/>
                <w:sz w:val="21"/>
                <w:szCs w:val="21"/>
                <w:lang w:val="en-US" w:eastAsia="zh-CN"/>
              </w:rPr>
            </w:pPr>
          </w:p>
        </w:tc>
        <w:tc>
          <w:tcPr>
            <w:tcW w:w="894" w:type="pct"/>
            <w:vAlign w:val="center"/>
          </w:tcPr>
          <w:p w14:paraId="3BDD34D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Style w:val="30"/>
                <w:rFonts w:ascii="宋体" w:hAnsi="宋体" w:eastAsia="宋体" w:cs="宋体"/>
                <w:kern w:val="0"/>
                <w:sz w:val="21"/>
                <w:szCs w:val="21"/>
                <w:lang w:val="en-US" w:eastAsia="zh-CN" w:bidi="ar"/>
              </w:rPr>
              <w:t>任务3：畜禽常见疾病防治（60学时）</w:t>
            </w:r>
          </w:p>
          <w:p w14:paraId="7D61D28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畜禽临床检查与症状识别</w:t>
            </w:r>
          </w:p>
          <w:p w14:paraId="423A5A8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病料采集、保存与送检</w:t>
            </w:r>
          </w:p>
          <w:p w14:paraId="74A089D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药物选择、配伍与给药操作</w:t>
            </w:r>
          </w:p>
          <w:p w14:paraId="23D60B8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疫苗接种与免疫程序执行</w:t>
            </w:r>
          </w:p>
          <w:p w14:paraId="4A8CD9A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常见疾病的防治与疫情上报</w:t>
            </w:r>
          </w:p>
        </w:tc>
        <w:tc>
          <w:tcPr>
            <w:tcW w:w="908" w:type="pct"/>
            <w:vAlign w:val="center"/>
          </w:tcPr>
          <w:p w14:paraId="1567C3D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临床检查方法（视、触、听、问）与症状鉴别</w:t>
            </w:r>
          </w:p>
          <w:p w14:paraId="027C848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病料采集原则、方法与保存条件</w:t>
            </w:r>
          </w:p>
          <w:p w14:paraId="6772DD7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兽药分类、作用机制、配伍禁忌与休药期规定</w:t>
            </w:r>
          </w:p>
          <w:p w14:paraId="6809C5B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疫苗种类、接种方法、注意事项与免疫程序设计</w:t>
            </w:r>
          </w:p>
          <w:p w14:paraId="362B3A1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常见疫病诊断标准与疫情上报流程</w:t>
            </w:r>
          </w:p>
        </w:tc>
        <w:tc>
          <w:tcPr>
            <w:tcW w:w="840" w:type="pct"/>
            <w:vAlign w:val="center"/>
          </w:tcPr>
          <w:p w14:paraId="44AE995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运用临床检查方法识别常见疾病典型症状</w:t>
            </w:r>
          </w:p>
          <w:p w14:paraId="1D6C6F0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规范采集血液、粪便、组织等病料，做好标记送检</w:t>
            </w:r>
          </w:p>
          <w:p w14:paraId="412D4F6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合理选择药物，正确进行注射、混饮、混饲给药</w:t>
            </w:r>
          </w:p>
          <w:p w14:paraId="28CA464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按免疫程序完成疫苗接种，记录免疫信息</w:t>
            </w:r>
          </w:p>
          <w:p w14:paraId="122844C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识别疑似疫情，按规定上报并采取隔离措施</w:t>
            </w:r>
          </w:p>
        </w:tc>
        <w:tc>
          <w:tcPr>
            <w:tcW w:w="691" w:type="pct"/>
            <w:vAlign w:val="center"/>
          </w:tcPr>
          <w:p w14:paraId="018CFAE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依法执业意识（遵守兽药与防疫法规）</w:t>
            </w:r>
          </w:p>
          <w:p w14:paraId="4750CAA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责任担当与疫情防控意识</w:t>
            </w:r>
          </w:p>
          <w:p w14:paraId="597B8D7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 诚信执业，拒绝使用违禁药物</w:t>
            </w:r>
          </w:p>
        </w:tc>
        <w:tc>
          <w:tcPr>
            <w:tcW w:w="350" w:type="pct"/>
            <w:vAlign w:val="center"/>
          </w:tcPr>
          <w:p w14:paraId="5A93BA9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60</w:t>
            </w:r>
          </w:p>
        </w:tc>
      </w:tr>
      <w:tr w14:paraId="505B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Merge w:val="continue"/>
            <w:vAlign w:val="center"/>
          </w:tcPr>
          <w:p w14:paraId="11173FE6">
            <w:pPr>
              <w:snapToGrid w:val="0"/>
              <w:ind w:left="0" w:leftChars="0" w:right="0" w:rightChars="0" w:firstLine="0" w:firstLineChars="0"/>
              <w:jc w:val="center"/>
              <w:rPr>
                <w:rFonts w:hint="eastAsia" w:ascii="宋体" w:hAnsi="宋体" w:eastAsia="宋体" w:cs="宋体"/>
                <w:sz w:val="21"/>
                <w:szCs w:val="21"/>
                <w:lang w:val="en-US" w:eastAsia="zh-CN"/>
              </w:rPr>
            </w:pPr>
          </w:p>
        </w:tc>
        <w:tc>
          <w:tcPr>
            <w:tcW w:w="894" w:type="pct"/>
            <w:vAlign w:val="center"/>
          </w:tcPr>
          <w:p w14:paraId="62703A8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Style w:val="30"/>
                <w:rFonts w:ascii="宋体" w:hAnsi="宋体" w:eastAsia="宋体" w:cs="宋体"/>
                <w:kern w:val="0"/>
                <w:sz w:val="21"/>
                <w:szCs w:val="21"/>
                <w:lang w:val="en-US" w:eastAsia="zh-CN" w:bidi="ar"/>
              </w:rPr>
              <w:t>任务4：饲料与兽药技术服务（60学时）</w:t>
            </w:r>
          </w:p>
          <w:p w14:paraId="517AD8A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饲料原料识别与营养成分分析</w:t>
            </w:r>
          </w:p>
          <w:p w14:paraId="6D93518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简易饲料配方设计与优化</w:t>
            </w:r>
          </w:p>
          <w:p w14:paraId="5217DDE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饲料质量检测（水分、粗蛋白等）</w:t>
            </w:r>
          </w:p>
          <w:p w14:paraId="69480A6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兽药产品选型与使用指导</w:t>
            </w:r>
          </w:p>
          <w:p w14:paraId="239A4A7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技术服务沟通与养殖咨询解答</w:t>
            </w:r>
          </w:p>
        </w:tc>
        <w:tc>
          <w:tcPr>
            <w:tcW w:w="908" w:type="pct"/>
            <w:vAlign w:val="center"/>
          </w:tcPr>
          <w:p w14:paraId="50D9FBD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常用饲料原料营养特性与质量标准</w:t>
            </w:r>
          </w:p>
          <w:p w14:paraId="76052A4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饲料配方设计基本原则与调整方法</w:t>
            </w:r>
          </w:p>
          <w:p w14:paraId="1B3CCDE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饲料水分、粗蛋白简易检测原理与操作</w:t>
            </w:r>
          </w:p>
          <w:p w14:paraId="66ADFCE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兽药适应症、使用禁忌与不良反应处理</w:t>
            </w:r>
          </w:p>
          <w:p w14:paraId="6BFD1CC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技术服务沟通技巧与养殖问题解决方案</w:t>
            </w:r>
          </w:p>
        </w:tc>
        <w:tc>
          <w:tcPr>
            <w:tcW w:w="840" w:type="pct"/>
            <w:vAlign w:val="center"/>
          </w:tcPr>
          <w:p w14:paraId="54552FE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识别常用饲料原料，判断质量优劣</w:t>
            </w:r>
          </w:p>
          <w:p w14:paraId="26B4B8D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针对特定畜禽设计简易饲料配方</w:t>
            </w:r>
          </w:p>
          <w:p w14:paraId="6D2C463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运用简易设备检测饲料水分、粗蛋白含量</w:t>
            </w:r>
          </w:p>
          <w:p w14:paraId="6339AD3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为养殖户提供兽药选型与规范使用指导</w:t>
            </w:r>
          </w:p>
          <w:p w14:paraId="7C45452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5. 撰写技术服务记录与咨询解答报告</w:t>
            </w:r>
          </w:p>
        </w:tc>
        <w:tc>
          <w:tcPr>
            <w:tcW w:w="691" w:type="pct"/>
            <w:vAlign w:val="center"/>
          </w:tcPr>
          <w:p w14:paraId="16B3241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诚信经营意识（不夸大产品功效）</w:t>
            </w:r>
          </w:p>
          <w:p w14:paraId="26E0DC1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服务三农的宗旨意识</w:t>
            </w:r>
          </w:p>
          <w:p w14:paraId="64C3781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3. 科学严谨的专业态度</w:t>
            </w:r>
          </w:p>
        </w:tc>
        <w:tc>
          <w:tcPr>
            <w:tcW w:w="350" w:type="pct"/>
            <w:vAlign w:val="center"/>
          </w:tcPr>
          <w:p w14:paraId="2D21D69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1"/>
                <w:szCs w:val="21"/>
                <w:lang w:val="en-US" w:eastAsia="zh-CN"/>
              </w:rPr>
            </w:pPr>
            <w:r>
              <w:rPr>
                <w:rFonts w:ascii="宋体" w:hAnsi="宋体" w:eastAsia="宋体" w:cs="宋体"/>
                <w:kern w:val="0"/>
                <w:sz w:val="21"/>
                <w:szCs w:val="21"/>
                <w:lang w:val="en-US" w:eastAsia="zh-CN" w:bidi="ar"/>
              </w:rPr>
              <w:t>60</w:t>
            </w:r>
          </w:p>
        </w:tc>
      </w:tr>
      <w:tr w14:paraId="70BA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4" w:type="pct"/>
            <w:vAlign w:val="center"/>
          </w:tcPr>
          <w:p w14:paraId="5484703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ascii="宋体" w:hAnsi="Arial" w:eastAsia="宋体" w:cs="Arial"/>
                <w:b/>
                <w:sz w:val="21"/>
                <w:szCs w:val="21"/>
              </w:rPr>
            </w:pPr>
            <w:r>
              <w:rPr>
                <w:rStyle w:val="30"/>
                <w:rFonts w:ascii="宋体" w:hAnsi="宋体" w:eastAsia="宋体" w:cs="宋体"/>
                <w:kern w:val="0"/>
                <w:sz w:val="21"/>
                <w:szCs w:val="21"/>
                <w:lang w:val="en-US" w:eastAsia="zh-CN" w:bidi="ar"/>
              </w:rPr>
              <w:t>情景三：综合实习（140学时）</w:t>
            </w:r>
          </w:p>
        </w:tc>
        <w:tc>
          <w:tcPr>
            <w:tcW w:w="894" w:type="pct"/>
            <w:vAlign w:val="center"/>
          </w:tcPr>
          <w:p w14:paraId="1284ECF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养殖场综合生产管理（40学时）</w:t>
            </w:r>
          </w:p>
          <w:p w14:paraId="0D62968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（1）养殖生产计划制定与执行</w:t>
            </w:r>
          </w:p>
          <w:p w14:paraId="3759F4F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（2）生产数据记录、整理与分析</w:t>
            </w:r>
          </w:p>
          <w:p w14:paraId="29EEFD1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（3）养殖成本核算与效益分析</w:t>
            </w:r>
          </w:p>
          <w:p w14:paraId="1A5488F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区域性畜禽疫病防控方案制定与实施（40学时）</w:t>
            </w:r>
          </w:p>
          <w:p w14:paraId="7D8F074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（1）疫病流行病学调查</w:t>
            </w:r>
          </w:p>
          <w:p w14:paraId="27DA93D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（2）防控方案编制与执行</w:t>
            </w:r>
          </w:p>
          <w:p w14:paraId="24CD697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（3）防控效果评估与方案优化</w:t>
            </w:r>
          </w:p>
          <w:p w14:paraId="614DF91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应急处置与技术总结（60学时）</w:t>
            </w:r>
          </w:p>
          <w:p w14:paraId="1C27241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（1）养殖突发问题（疫病、应激、设备故障）处置</w:t>
            </w:r>
          </w:p>
          <w:p w14:paraId="75DDEF2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（2）实习成果梳理与技术总结撰写</w:t>
            </w:r>
          </w:p>
          <w:p w14:paraId="49618C9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Arial" w:eastAsia="宋体" w:cs="Arial"/>
                <w:sz w:val="21"/>
                <w:szCs w:val="21"/>
              </w:rPr>
            </w:pPr>
            <w:r>
              <w:rPr>
                <w:rFonts w:ascii="宋体" w:hAnsi="宋体" w:eastAsia="宋体" w:cs="宋体"/>
                <w:kern w:val="0"/>
                <w:sz w:val="21"/>
                <w:szCs w:val="21"/>
                <w:lang w:val="en-US" w:eastAsia="zh-CN" w:bidi="ar"/>
              </w:rPr>
              <w:t>（3）职业规划制定与岗位适配分析</w:t>
            </w:r>
          </w:p>
        </w:tc>
        <w:tc>
          <w:tcPr>
            <w:tcW w:w="908" w:type="pct"/>
            <w:vAlign w:val="center"/>
          </w:tcPr>
          <w:p w14:paraId="5088F04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养殖场生产计划编制方法、数据统计分析技巧</w:t>
            </w:r>
          </w:p>
          <w:p w14:paraId="5066F5F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养殖成本构成与效益核算逻辑</w:t>
            </w:r>
          </w:p>
          <w:p w14:paraId="0BC3DC3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疫病流行病学调查方法与防控方案框架</w:t>
            </w:r>
          </w:p>
          <w:p w14:paraId="16677A2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畜禽应激、突发疫病的应急处置流程</w:t>
            </w:r>
          </w:p>
          <w:p w14:paraId="3DE78D9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5. 实习报告、技术总结的撰写规范</w:t>
            </w:r>
          </w:p>
          <w:p w14:paraId="6D8812E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Arial" w:eastAsia="宋体" w:cs="Arial"/>
                <w:sz w:val="21"/>
                <w:szCs w:val="21"/>
              </w:rPr>
            </w:pPr>
            <w:r>
              <w:rPr>
                <w:rFonts w:ascii="宋体" w:hAnsi="宋体" w:eastAsia="宋体" w:cs="宋体"/>
                <w:kern w:val="0"/>
                <w:sz w:val="21"/>
                <w:szCs w:val="21"/>
                <w:lang w:val="en-US" w:eastAsia="zh-CN" w:bidi="ar"/>
              </w:rPr>
              <w:t>6. 畜牧兽医岗位职业发展路径与能力要求</w:t>
            </w:r>
          </w:p>
        </w:tc>
        <w:tc>
          <w:tcPr>
            <w:tcW w:w="840" w:type="pct"/>
            <w:vAlign w:val="center"/>
          </w:tcPr>
          <w:p w14:paraId="2A8A403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协助制定养殖场月度/季度生产计划，分析生产数据</w:t>
            </w:r>
          </w:p>
          <w:p w14:paraId="183EAC2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参与养殖成本核算，提出优化成本的建议</w:t>
            </w:r>
          </w:p>
          <w:p w14:paraId="369FFF6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开展小型流行病学调查，编制疫病防控方案</w:t>
            </w:r>
          </w:p>
          <w:p w14:paraId="7BA29CA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4. 独立处理养殖突发问题，制定应急处置预案</w:t>
            </w:r>
          </w:p>
          <w:p w14:paraId="104A33B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5. 撰写完整实习报告与技术总结</w:t>
            </w:r>
          </w:p>
          <w:p w14:paraId="2C23882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Arial" w:eastAsia="宋体" w:cs="Arial"/>
                <w:sz w:val="21"/>
                <w:szCs w:val="21"/>
              </w:rPr>
            </w:pPr>
            <w:r>
              <w:rPr>
                <w:rFonts w:ascii="宋体" w:hAnsi="宋体" w:eastAsia="宋体" w:cs="宋体"/>
                <w:kern w:val="0"/>
                <w:sz w:val="21"/>
                <w:szCs w:val="21"/>
                <w:lang w:val="en-US" w:eastAsia="zh-CN" w:bidi="ar"/>
              </w:rPr>
              <w:t>6. 结合实习经历制定合理职业规划</w:t>
            </w:r>
          </w:p>
        </w:tc>
        <w:tc>
          <w:tcPr>
            <w:tcW w:w="691" w:type="pct"/>
            <w:vAlign w:val="center"/>
          </w:tcPr>
          <w:p w14:paraId="0300E64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1. 统筹协调能力与团队协作精神</w:t>
            </w:r>
          </w:p>
          <w:p w14:paraId="0531C11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2. 产业报国与乡村振兴使命感</w:t>
            </w:r>
          </w:p>
          <w:p w14:paraId="3409752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eastAsia="宋体"/>
                <w:sz w:val="21"/>
                <w:szCs w:val="21"/>
              </w:rPr>
            </w:pPr>
            <w:r>
              <w:rPr>
                <w:rFonts w:ascii="宋体" w:hAnsi="宋体" w:eastAsia="宋体" w:cs="宋体"/>
                <w:kern w:val="0"/>
                <w:sz w:val="21"/>
                <w:szCs w:val="21"/>
                <w:lang w:val="en-US" w:eastAsia="zh-CN" w:bidi="ar"/>
              </w:rPr>
              <w:t>3. 终身学习与职业发展意识</w:t>
            </w:r>
          </w:p>
          <w:p w14:paraId="77943E3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Arial" w:eastAsia="宋体" w:cs="Arial"/>
                <w:sz w:val="21"/>
                <w:szCs w:val="21"/>
              </w:rPr>
            </w:pPr>
            <w:r>
              <w:rPr>
                <w:rFonts w:ascii="宋体" w:hAnsi="宋体" w:eastAsia="宋体" w:cs="宋体"/>
                <w:kern w:val="0"/>
                <w:sz w:val="21"/>
                <w:szCs w:val="21"/>
                <w:lang w:val="en-US" w:eastAsia="zh-CN" w:bidi="ar"/>
              </w:rPr>
              <w:t>4. 应急处置的责任担当</w:t>
            </w:r>
          </w:p>
        </w:tc>
        <w:tc>
          <w:tcPr>
            <w:tcW w:w="350" w:type="pct"/>
            <w:vAlign w:val="center"/>
          </w:tcPr>
          <w:p w14:paraId="0AB9C8E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ascii="宋体" w:hAnsi="Arial" w:eastAsia="宋体" w:cs="Arial"/>
                <w:sz w:val="21"/>
                <w:szCs w:val="21"/>
              </w:rPr>
            </w:pPr>
            <w:r>
              <w:rPr>
                <w:rFonts w:ascii="宋体" w:hAnsi="宋体" w:eastAsia="宋体" w:cs="宋体"/>
                <w:kern w:val="0"/>
                <w:sz w:val="21"/>
                <w:szCs w:val="21"/>
                <w:lang w:val="en-US" w:eastAsia="zh-CN" w:bidi="ar"/>
              </w:rPr>
              <w:t>140</w:t>
            </w:r>
          </w:p>
        </w:tc>
      </w:tr>
    </w:tbl>
    <w:p w14:paraId="0BB6565B">
      <w:pPr>
        <w:pStyle w:val="3"/>
        <w:bidi w:val="0"/>
        <w:rPr>
          <w:rFonts w:hint="eastAsia"/>
          <w:lang w:val="en-US" w:eastAsia="zh-CN"/>
        </w:rPr>
      </w:pPr>
      <w:r>
        <w:rPr>
          <w:rFonts w:hint="eastAsia"/>
          <w:lang w:val="en-US" w:eastAsia="zh-CN"/>
        </w:rPr>
        <w:t>六、课程考核与评价</w:t>
      </w:r>
    </w:p>
    <w:p w14:paraId="7F0967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遵循“立德树人、德技并修”的评价导向，坚持“过程评价与结果评价结合、技能考核与思政评价结合、校内实训与企业评价结合”的原则，全面评价学生的实训表现。</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2278"/>
        <w:gridCol w:w="1417"/>
        <w:gridCol w:w="3825"/>
      </w:tblGrid>
      <w:tr w14:paraId="315A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tcBorders>
              <w:left w:val="single" w:color="auto" w:sz="4" w:space="0"/>
              <w:right w:val="single" w:color="auto" w:sz="4" w:space="0"/>
            </w:tcBorders>
            <w:vAlign w:val="center"/>
          </w:tcPr>
          <w:p w14:paraId="2697047D">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1"/>
                <w:szCs w:val="21"/>
                <w:highlight w:val="none"/>
                <w:lang w:val="en-US" w:eastAsia="zh-CN" w:bidi="ar"/>
              </w:rPr>
              <w:t>评价项目</w:t>
            </w:r>
          </w:p>
        </w:tc>
        <w:tc>
          <w:tcPr>
            <w:tcW w:w="2108" w:type="dxa"/>
            <w:tcBorders>
              <w:left w:val="single" w:color="auto" w:sz="4" w:space="0"/>
              <w:right w:val="single" w:color="auto" w:sz="4" w:space="0"/>
            </w:tcBorders>
            <w:vAlign w:val="center"/>
          </w:tcPr>
          <w:p w14:paraId="06BD0BCA">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1"/>
                <w:szCs w:val="21"/>
                <w:highlight w:val="none"/>
                <w:lang w:val="en-US" w:eastAsia="zh-CN" w:bidi="ar"/>
              </w:rPr>
              <w:t>评价方式</w:t>
            </w:r>
          </w:p>
        </w:tc>
        <w:tc>
          <w:tcPr>
            <w:tcW w:w="1311" w:type="dxa"/>
            <w:tcBorders>
              <w:left w:val="single" w:color="auto" w:sz="4" w:space="0"/>
              <w:right w:val="single" w:color="auto" w:sz="4" w:space="0"/>
            </w:tcBorders>
            <w:vAlign w:val="center"/>
          </w:tcPr>
          <w:p w14:paraId="1B9B8DD1">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1"/>
                <w:szCs w:val="21"/>
                <w:highlight w:val="none"/>
                <w:lang w:val="en-US" w:eastAsia="zh-CN" w:bidi="ar"/>
              </w:rPr>
              <w:t>分值比例</w:t>
            </w:r>
          </w:p>
        </w:tc>
        <w:tc>
          <w:tcPr>
            <w:tcW w:w="3539" w:type="dxa"/>
            <w:tcBorders>
              <w:left w:val="single" w:color="auto" w:sz="4" w:space="0"/>
              <w:right w:val="single" w:color="auto" w:sz="4" w:space="0"/>
            </w:tcBorders>
            <w:vAlign w:val="center"/>
          </w:tcPr>
          <w:p w14:paraId="65709155">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bCs/>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b/>
                <w:bCs/>
                <w:i w:val="0"/>
                <w:iCs w:val="0"/>
                <w:caps w:val="0"/>
                <w:color w:val="auto"/>
                <w:spacing w:val="0"/>
                <w:kern w:val="0"/>
                <w:sz w:val="21"/>
                <w:szCs w:val="21"/>
                <w:highlight w:val="none"/>
                <w:lang w:val="en-US" w:eastAsia="zh-CN" w:bidi="ar"/>
              </w:rPr>
              <w:t>评价标准</w:t>
            </w:r>
          </w:p>
        </w:tc>
      </w:tr>
      <w:tr w14:paraId="2214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restart"/>
            <w:tcBorders>
              <w:left w:val="single" w:color="auto" w:sz="4" w:space="0"/>
              <w:right w:val="single" w:color="auto" w:sz="4" w:space="0"/>
            </w:tcBorders>
            <w:vAlign w:val="center"/>
          </w:tcPr>
          <w:p w14:paraId="3A9F7E9C">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过程性评价</w:t>
            </w:r>
          </w:p>
        </w:tc>
        <w:tc>
          <w:tcPr>
            <w:tcW w:w="2108" w:type="dxa"/>
            <w:tcBorders>
              <w:left w:val="single" w:color="auto" w:sz="4" w:space="0"/>
              <w:right w:val="single" w:color="auto" w:sz="4" w:space="0"/>
            </w:tcBorders>
            <w:shd w:val="clear" w:color="auto" w:fill="auto"/>
            <w:vAlign w:val="center"/>
          </w:tcPr>
          <w:p w14:paraId="61522C3F">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岗位日常操作绩效</w:t>
            </w:r>
          </w:p>
        </w:tc>
        <w:tc>
          <w:tcPr>
            <w:tcW w:w="1311" w:type="dxa"/>
            <w:tcBorders>
              <w:left w:val="single" w:color="auto" w:sz="4" w:space="0"/>
              <w:right w:val="single" w:color="auto" w:sz="4" w:space="0"/>
            </w:tcBorders>
            <w:shd w:val="clear" w:color="auto" w:fill="auto"/>
            <w:vAlign w:val="center"/>
          </w:tcPr>
          <w:p w14:paraId="10A685CB">
            <w:pPr>
              <w:keepNext w:val="0"/>
              <w:keepLines w:val="0"/>
              <w:widowControl/>
              <w:suppressLineNumbers w:val="0"/>
              <w:spacing w:before="0" w:beforeAutospacing="0" w:after="0" w:afterAutospacing="0"/>
              <w:ind w:left="0" w:leftChars="0" w:right="0" w:rightChars="0" w:firstLine="0" w:firstLineChars="0"/>
              <w:jc w:val="left"/>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30%</w:t>
            </w:r>
          </w:p>
        </w:tc>
        <w:tc>
          <w:tcPr>
            <w:tcW w:w="3539" w:type="dxa"/>
            <w:tcBorders>
              <w:left w:val="single" w:color="auto" w:sz="4" w:space="0"/>
              <w:right w:val="single" w:color="auto" w:sz="4" w:space="0"/>
            </w:tcBorders>
            <w:vAlign w:val="center"/>
          </w:tcPr>
          <w:p w14:paraId="080E58A2">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由企业导师按操作规范性、工艺稳定性、安全合规性进行量化评分</w:t>
            </w:r>
          </w:p>
        </w:tc>
      </w:tr>
      <w:tr w14:paraId="0C0C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continue"/>
            <w:tcBorders>
              <w:left w:val="single" w:color="auto" w:sz="4" w:space="0"/>
              <w:right w:val="single" w:color="auto" w:sz="4" w:space="0"/>
            </w:tcBorders>
            <w:vAlign w:val="center"/>
          </w:tcPr>
          <w:p w14:paraId="3C0385D8">
            <w:pPr>
              <w:jc w:val="center"/>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p>
        </w:tc>
        <w:tc>
          <w:tcPr>
            <w:tcW w:w="2108" w:type="dxa"/>
            <w:tcBorders>
              <w:left w:val="single" w:color="auto" w:sz="4" w:space="0"/>
              <w:right w:val="single" w:color="auto" w:sz="4" w:space="0"/>
            </w:tcBorders>
            <w:vAlign w:val="center"/>
          </w:tcPr>
          <w:p w14:paraId="19D1DDBE">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eastAsia" w:asciiTheme="minorEastAsia" w:hAnsiTheme="minorEastAsia" w:cstheme="minorEastAsia"/>
                <w:i w:val="0"/>
                <w:iCs w:val="0"/>
                <w:caps w:val="0"/>
                <w:color w:val="auto"/>
                <w:spacing w:val="0"/>
                <w:kern w:val="0"/>
                <w:sz w:val="21"/>
                <w:szCs w:val="21"/>
                <w:highlight w:val="none"/>
                <w:lang w:val="en-US" w:eastAsia="zh-CN" w:bidi="ar"/>
              </w:rPr>
              <w:t>日常技能</w:t>
            </w: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工作表现</w:t>
            </w:r>
          </w:p>
        </w:tc>
        <w:tc>
          <w:tcPr>
            <w:tcW w:w="1311" w:type="dxa"/>
            <w:tcBorders>
              <w:left w:val="single" w:color="auto" w:sz="4" w:space="0"/>
              <w:right w:val="single" w:color="auto" w:sz="4" w:space="0"/>
            </w:tcBorders>
            <w:vAlign w:val="center"/>
          </w:tcPr>
          <w:p w14:paraId="104CEF6B">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eastAsia" w:asciiTheme="minorEastAsia" w:hAnsiTheme="minorEastAsia" w:cstheme="minorEastAsia"/>
                <w:i w:val="0"/>
                <w:iCs w:val="0"/>
                <w:caps w:val="0"/>
                <w:color w:val="auto"/>
                <w:spacing w:val="0"/>
                <w:kern w:val="0"/>
                <w:sz w:val="21"/>
                <w:szCs w:val="21"/>
                <w:highlight w:val="none"/>
                <w:lang w:val="en-US" w:eastAsia="zh-CN" w:bidi="ar"/>
              </w:rPr>
              <w:t>3</w:t>
            </w: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0%</w:t>
            </w:r>
          </w:p>
        </w:tc>
        <w:tc>
          <w:tcPr>
            <w:tcW w:w="3539" w:type="dxa"/>
            <w:tcBorders>
              <w:left w:val="single" w:color="auto" w:sz="4" w:space="0"/>
              <w:right w:val="single" w:color="auto" w:sz="4" w:space="0"/>
            </w:tcBorders>
            <w:vAlign w:val="center"/>
          </w:tcPr>
          <w:p w14:paraId="6CC8F6CB">
            <w:pPr>
              <w:keepNext w:val="0"/>
              <w:keepLines w:val="0"/>
              <w:widowControl/>
              <w:suppressLineNumbers w:val="0"/>
              <w:spacing w:before="0" w:beforeAutospacing="0" w:after="0" w:afterAutospacing="0"/>
              <w:ind w:left="0" w:leftChars="0" w:right="0" w:rightChars="0" w:firstLine="0" w:firstLineChars="0"/>
              <w:jc w:val="left"/>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eastAsia" w:asciiTheme="minorEastAsia" w:hAnsiTheme="minorEastAsia" w:cstheme="minorEastAsia"/>
                <w:i w:val="0"/>
                <w:iCs w:val="0"/>
                <w:caps w:val="0"/>
                <w:color w:val="auto"/>
                <w:spacing w:val="0"/>
                <w:kern w:val="0"/>
                <w:sz w:val="21"/>
                <w:szCs w:val="21"/>
                <w:highlight w:val="none"/>
                <w:lang w:val="en-US" w:eastAsia="zh-CN" w:bidi="ar"/>
              </w:rPr>
              <w:t>有企业导师进行评分</w:t>
            </w:r>
          </w:p>
        </w:tc>
      </w:tr>
      <w:tr w14:paraId="38E8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vMerge w:val="restart"/>
            <w:tcBorders>
              <w:left w:val="single" w:color="auto" w:sz="4" w:space="0"/>
              <w:right w:val="single" w:color="auto" w:sz="4" w:space="0"/>
            </w:tcBorders>
            <w:vAlign w:val="center"/>
          </w:tcPr>
          <w:p w14:paraId="79E7AB36">
            <w:pPr>
              <w:keepNext w:val="0"/>
              <w:keepLines w:val="0"/>
              <w:widowControl/>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终结性评价</w:t>
            </w:r>
          </w:p>
        </w:tc>
        <w:tc>
          <w:tcPr>
            <w:tcW w:w="2108" w:type="dxa"/>
            <w:tcBorders>
              <w:left w:val="single" w:color="auto" w:sz="4" w:space="0"/>
              <w:right w:val="single" w:color="auto" w:sz="4" w:space="0"/>
            </w:tcBorders>
            <w:vAlign w:val="center"/>
          </w:tcPr>
          <w:p w14:paraId="69B6045C">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岗位技能综合实操</w:t>
            </w:r>
          </w:p>
        </w:tc>
        <w:tc>
          <w:tcPr>
            <w:tcW w:w="1311" w:type="dxa"/>
            <w:tcBorders>
              <w:left w:val="single" w:color="auto" w:sz="4" w:space="0"/>
              <w:right w:val="single" w:color="auto" w:sz="4" w:space="0"/>
            </w:tcBorders>
            <w:vAlign w:val="center"/>
          </w:tcPr>
          <w:p w14:paraId="0D917EBA">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30%</w:t>
            </w:r>
          </w:p>
        </w:tc>
        <w:tc>
          <w:tcPr>
            <w:tcW w:w="3539" w:type="dxa"/>
            <w:tcBorders>
              <w:left w:val="single" w:color="auto" w:sz="4" w:space="0"/>
              <w:right w:val="single" w:color="auto" w:sz="4" w:space="0"/>
            </w:tcBorders>
            <w:vAlign w:val="center"/>
          </w:tcPr>
          <w:p w14:paraId="581D00F0">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在</w:t>
            </w:r>
            <w:r>
              <w:rPr>
                <w:rFonts w:hint="eastAsia" w:asciiTheme="minorEastAsia" w:hAnsiTheme="minorEastAsia" w:cstheme="minorEastAsia"/>
                <w:i w:val="0"/>
                <w:iCs w:val="0"/>
                <w:caps w:val="0"/>
                <w:color w:val="auto"/>
                <w:spacing w:val="0"/>
                <w:kern w:val="0"/>
                <w:sz w:val="21"/>
                <w:szCs w:val="21"/>
                <w:highlight w:val="none"/>
                <w:lang w:val="en-US" w:eastAsia="zh-CN" w:bidi="ar"/>
              </w:rPr>
              <w:t>日常的生产管理工作中</w:t>
            </w: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，考核岗位独立胜任能力</w:t>
            </w:r>
          </w:p>
        </w:tc>
      </w:tr>
      <w:tr w14:paraId="6753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2" w:type="dxa"/>
            <w:vMerge w:val="continue"/>
            <w:tcBorders>
              <w:left w:val="single" w:color="auto" w:sz="4" w:space="0"/>
              <w:right w:val="single" w:color="auto" w:sz="4" w:space="0"/>
            </w:tcBorders>
            <w:vAlign w:val="center"/>
          </w:tcPr>
          <w:p w14:paraId="740EF74E">
            <w:pPr>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p>
        </w:tc>
        <w:tc>
          <w:tcPr>
            <w:tcW w:w="2108" w:type="dxa"/>
            <w:tcBorders>
              <w:left w:val="single" w:color="auto" w:sz="4" w:space="0"/>
              <w:right w:val="single" w:color="auto" w:sz="4" w:space="0"/>
            </w:tcBorders>
            <w:vAlign w:val="center"/>
          </w:tcPr>
          <w:p w14:paraId="107B21C5">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实训成果与职业素养答辩</w:t>
            </w:r>
          </w:p>
        </w:tc>
        <w:tc>
          <w:tcPr>
            <w:tcW w:w="1311" w:type="dxa"/>
            <w:tcBorders>
              <w:left w:val="single" w:color="auto" w:sz="4" w:space="0"/>
              <w:right w:val="single" w:color="auto" w:sz="4" w:space="0"/>
            </w:tcBorders>
            <w:vAlign w:val="center"/>
          </w:tcPr>
          <w:p w14:paraId="590D9193">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10%</w:t>
            </w:r>
          </w:p>
        </w:tc>
        <w:tc>
          <w:tcPr>
            <w:tcW w:w="3539" w:type="dxa"/>
            <w:tcBorders>
              <w:left w:val="single" w:color="auto" w:sz="4" w:space="0"/>
              <w:right w:val="single" w:color="auto" w:sz="4" w:space="0"/>
            </w:tcBorders>
            <w:vAlign w:val="center"/>
          </w:tcPr>
          <w:p w14:paraId="5E845CE5">
            <w:pPr>
              <w:keepNext w:val="0"/>
              <w:keepLines w:val="0"/>
              <w:widowControl/>
              <w:suppressLineNumbers w:val="0"/>
              <w:spacing w:before="0" w:beforeAutospacing="0" w:after="0" w:afterAutospacing="0"/>
              <w:ind w:left="0" w:leftChars="0" w:right="0" w:rightChars="0" w:firstLine="0" w:firstLineChars="0"/>
              <w:jc w:val="left"/>
              <w:rPr>
                <w:rFonts w:hint="eastAsia" w:asciiTheme="minorEastAsia" w:hAnsiTheme="minorEastAsia" w:eastAsiaTheme="minorEastAsia" w:cstheme="minorEastAsia"/>
                <w:i w:val="0"/>
                <w:iCs w:val="0"/>
                <w:caps w:val="0"/>
                <w:color w:val="auto"/>
                <w:spacing w:val="0"/>
                <w:kern w:val="0"/>
                <w:sz w:val="21"/>
                <w:szCs w:val="21"/>
                <w:highlight w:val="none"/>
                <w:lang w:val="en-US" w:eastAsia="zh-CN" w:bidi="ar"/>
              </w:rPr>
            </w:pPr>
            <w:r>
              <w:rPr>
                <w:rFonts w:hint="default" w:asciiTheme="minorEastAsia" w:hAnsiTheme="minorEastAsia" w:eastAsiaTheme="minorEastAsia" w:cstheme="minorEastAsia"/>
                <w:i w:val="0"/>
                <w:iCs w:val="0"/>
                <w:caps w:val="0"/>
                <w:color w:val="auto"/>
                <w:spacing w:val="0"/>
                <w:kern w:val="0"/>
                <w:sz w:val="21"/>
                <w:szCs w:val="21"/>
                <w:highlight w:val="none"/>
                <w:lang w:val="en-US" w:eastAsia="zh-CN" w:bidi="ar"/>
              </w:rPr>
              <w:t>汇报实训成果与职业成长，考核综合素养与岗位认知深度</w:t>
            </w:r>
          </w:p>
        </w:tc>
      </w:tr>
    </w:tbl>
    <w:p w14:paraId="7094C82A">
      <w:pPr>
        <w:pStyle w:val="3"/>
        <w:bidi w:val="0"/>
        <w:rPr>
          <w:rFonts w:hint="eastAsia"/>
          <w:lang w:val="en-US" w:eastAsia="zh-CN"/>
        </w:rPr>
      </w:pPr>
      <w:r>
        <w:rPr>
          <w:rFonts w:hint="eastAsia"/>
          <w:lang w:val="en-US" w:eastAsia="zh-CN"/>
        </w:rPr>
        <w:t>七、课程实施与保障</w:t>
      </w:r>
    </w:p>
    <w:p w14:paraId="7FC14F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0A2556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采用“企业导师主责、校内导师赋能”的双师模式，企业导师负责岗位实操指导，校内导师负责技术理论复盘与职业素养引导；</w:t>
      </w:r>
    </w:p>
    <w:p w14:paraId="1D787C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依托岗位实习综合管理平台，实现实训打卡、周记/技术报告提交、导师考评的全流程信息化管控；</w:t>
      </w:r>
    </w:p>
    <w:p w14:paraId="7D73052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推行“项目制实训”，为学生分配具体工艺优化或故障处置项目，以项目成果衡量实训成效；</w:t>
      </w:r>
    </w:p>
    <w:p w14:paraId="4F0B7E2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35311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尊重生命、强农兴牧、科学报国”的课程思政主线。结合我国著名兽医学家的事迹，弘扬科学家精神和爱国情怀。通过解剖操作规范、实验动物伦理教育，培养严谨作风和敬畏生命的意识。引入我国在畜禽种质资源保护、重要动物疫病防控等方面的重大成就，激发专业自豪感和使命感。结合畜牧业绿色发展案例，强化生态文明和社会责任教育。在实践环节，着重培养团队协作、吃苦耐劳、安全操作的职业素质。</w:t>
      </w:r>
    </w:p>
    <w:p w14:paraId="16F1B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CA8A1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A978B9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校内专职教师需具备5年以上石化专业教学经验，且每5年累计不少于6个月企业实践经历；</w:t>
      </w:r>
    </w:p>
    <w:p w14:paraId="404BDE4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企业兼职教师需为畜牧兽医相关技术人员，熟悉养殖诊疗饲料与岗位培训流程；</w:t>
      </w:r>
    </w:p>
    <w:p w14:paraId="74A89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团队需为“双师型”结构，专兼教师比例不低于1:1。</w:t>
      </w:r>
    </w:p>
    <w:p w14:paraId="4BC67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14:paraId="52FE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4AD4AA5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实训场所</w:t>
            </w:r>
          </w:p>
        </w:tc>
        <w:tc>
          <w:tcPr>
            <w:tcW w:w="3285" w:type="dxa"/>
            <w:vAlign w:val="center"/>
          </w:tcPr>
          <w:p w14:paraId="186528B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核心配置</w:t>
            </w:r>
          </w:p>
        </w:tc>
        <w:tc>
          <w:tcPr>
            <w:tcW w:w="3285" w:type="dxa"/>
            <w:vAlign w:val="center"/>
          </w:tcPr>
          <w:p w14:paraId="3FD80B3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功能说明</w:t>
            </w:r>
          </w:p>
        </w:tc>
      </w:tr>
      <w:tr w14:paraId="611B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5EAE58B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校内实训基地</w:t>
            </w:r>
          </w:p>
        </w:tc>
        <w:tc>
          <w:tcPr>
            <w:tcW w:w="3285" w:type="dxa"/>
            <w:vAlign w:val="center"/>
          </w:tcPr>
          <w:p w14:paraId="1541439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微生物实训室、诊疗实训室、动物外科实训室</w:t>
            </w:r>
          </w:p>
        </w:tc>
        <w:tc>
          <w:tcPr>
            <w:tcW w:w="3285" w:type="dxa"/>
            <w:vAlign w:val="center"/>
          </w:tcPr>
          <w:p w14:paraId="5F484D2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完成基础技能与仿真操作训练</w:t>
            </w:r>
          </w:p>
        </w:tc>
      </w:tr>
      <w:tr w14:paraId="17B0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2CACEB0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校外实训基地</w:t>
            </w:r>
          </w:p>
        </w:tc>
        <w:tc>
          <w:tcPr>
            <w:tcW w:w="3285" w:type="dxa"/>
            <w:vAlign w:val="center"/>
          </w:tcPr>
          <w:p w14:paraId="75F6756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锦州凯为生物技术有限公司，阜新彰武正成养猪繁育公司，锦州牵手动物医院</w:t>
            </w:r>
          </w:p>
        </w:tc>
        <w:tc>
          <w:tcPr>
            <w:tcW w:w="3285" w:type="dxa"/>
            <w:vAlign w:val="center"/>
          </w:tcPr>
          <w:p w14:paraId="282AE6D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开展岗位实战与轮岗实训</w:t>
            </w:r>
          </w:p>
        </w:tc>
      </w:tr>
      <w:tr w14:paraId="7CE0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14:paraId="5E48057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信息化平台</w:t>
            </w:r>
          </w:p>
        </w:tc>
        <w:tc>
          <w:tcPr>
            <w:tcW w:w="3285" w:type="dxa"/>
            <w:vAlign w:val="center"/>
          </w:tcPr>
          <w:p w14:paraId="79A0A91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岗位实习综合管理平台</w:t>
            </w:r>
          </w:p>
        </w:tc>
        <w:tc>
          <w:tcPr>
            <w:tcW w:w="3285" w:type="dxa"/>
            <w:vAlign w:val="center"/>
          </w:tcPr>
          <w:p w14:paraId="36D3863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实现实训打卡、文档提交、过程督导</w:t>
            </w:r>
          </w:p>
        </w:tc>
      </w:tr>
    </w:tbl>
    <w:p w14:paraId="3DD750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E699A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DCFC19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企业岗位操作规程、畜牧兽医实训指导手册、安全应急演练方案、岗位任务书模板；</w:t>
      </w:r>
    </w:p>
    <w:p w14:paraId="0FBCCBCD">
      <w:pPr>
        <w:keepNext w:val="0"/>
        <w:keepLines w:val="0"/>
        <w:pageBreakBefore w:val="0"/>
        <w:widowControl w:val="0"/>
        <w:numPr>
          <w:ilvl w:val="0"/>
          <w:numId w:val="51"/>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380D2209">
      <w:pPr>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岗位实习管理平台数字化台账。</w:t>
      </w:r>
    </w:p>
    <w:p w14:paraId="6504E1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CC858C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48511F9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335D3FB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szCs w:val="24"/>
          <w:lang w:val="en-US" w:eastAsia="zh-CN"/>
        </w:rPr>
      </w:pPr>
    </w:p>
    <w:p w14:paraId="0308925F">
      <w:pPr>
        <w:rPr>
          <w:rFonts w:hint="eastAsia"/>
          <w:lang w:val="en-US" w:eastAsia="zh-CN"/>
        </w:rPr>
      </w:pPr>
      <w:bookmarkStart w:id="70" w:name="_Toc32405"/>
      <w:r>
        <w:rPr>
          <w:rFonts w:hint="eastAsia"/>
          <w:lang w:val="en-US" w:eastAsia="zh-CN"/>
        </w:rPr>
        <w:br w:type="page"/>
      </w:r>
    </w:p>
    <w:p w14:paraId="360E9B64">
      <w:pPr>
        <w:pStyle w:val="2"/>
        <w:bidi w:val="0"/>
        <w:jc w:val="center"/>
        <w:rPr>
          <w:rFonts w:hint="eastAsia"/>
          <w:lang w:val="en-US" w:eastAsia="zh-CN"/>
        </w:rPr>
      </w:pPr>
      <w:bookmarkStart w:id="71" w:name="_Toc27203"/>
      <w:r>
        <w:rPr>
          <w:rFonts w:hint="eastAsia"/>
          <w:lang w:val="en-US" w:eastAsia="zh-CN"/>
        </w:rPr>
        <w:t>《毕业教育》课程标准</w:t>
      </w:r>
      <w:bookmarkEnd w:id="70"/>
      <w:bookmarkEnd w:id="71"/>
    </w:p>
    <w:p w14:paraId="7B93ABD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8"/>
        <w:gridCol w:w="1724"/>
        <w:gridCol w:w="990"/>
        <w:gridCol w:w="1054"/>
        <w:gridCol w:w="3298"/>
      </w:tblGrid>
      <w:tr w14:paraId="6DF0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3322F6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D50D43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highlight w:val="none"/>
                <w:lang w:val="en-US" w:eastAsia="zh-CN"/>
              </w:rPr>
              <w:t>毕业教育</w:t>
            </w:r>
          </w:p>
        </w:tc>
        <w:tc>
          <w:tcPr>
            <w:tcW w:w="975" w:type="dxa"/>
            <w:tcBorders>
              <w:top w:val="single" w:color="auto" w:sz="4" w:space="0"/>
              <w:left w:val="single" w:color="auto" w:sz="4" w:space="0"/>
              <w:bottom w:val="single" w:color="auto" w:sz="4" w:space="0"/>
              <w:right w:val="single" w:color="auto" w:sz="4" w:space="0"/>
            </w:tcBorders>
            <w:vAlign w:val="center"/>
          </w:tcPr>
          <w:p w14:paraId="5B797A16">
            <w:pPr>
              <w:pStyle w:val="16"/>
              <w:spacing w:before="0" w:beforeAutospacing="0" w:after="0" w:afterAutospacing="0"/>
              <w:ind w:right="-117" w:rightChars="0"/>
              <w:jc w:val="center"/>
              <w:rPr>
                <w:rFonts w:ascii="宋体" w:hAnsi="宋体" w:eastAsia="宋体"/>
                <w:b/>
                <w:bCs/>
                <w:color w:val="auto"/>
                <w:sz w:val="21"/>
                <w:szCs w:val="21"/>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130B357">
            <w:pPr>
              <w:pStyle w:val="16"/>
              <w:spacing w:before="0" w:beforeAutospacing="0" w:after="0" w:afterAutospacing="0"/>
              <w:ind w:right="-145" w:rightChars="0"/>
              <w:jc w:val="center"/>
              <w:rPr>
                <w:rFonts w:hint="default" w:ascii="宋体" w:hAnsi="宋体" w:eastAsia="宋体"/>
                <w:color w:val="FF0000"/>
                <w:sz w:val="21"/>
                <w:szCs w:val="21"/>
                <w:lang w:val="en-US" w:eastAsia="zh-CN"/>
              </w:rPr>
            </w:pPr>
            <w:r>
              <w:rPr>
                <w:rFonts w:hint="eastAsia" w:ascii="宋体" w:hAnsi="宋体" w:eastAsia="宋体"/>
                <w:color w:val="auto"/>
                <w:sz w:val="21"/>
                <w:szCs w:val="21"/>
                <w:highlight w:val="none"/>
                <w:lang w:val="en-US" w:eastAsia="zh-CN"/>
              </w:rPr>
              <w:t>xcxm24037</w:t>
            </w:r>
          </w:p>
        </w:tc>
      </w:tr>
      <w:tr w14:paraId="05B0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6A533C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0" w:type="dxa"/>
            <w:tcBorders>
              <w:top w:val="single" w:color="auto" w:sz="4" w:space="0"/>
              <w:left w:val="single" w:color="auto" w:sz="4" w:space="0"/>
              <w:bottom w:val="single" w:color="auto" w:sz="4" w:space="0"/>
              <w:right w:val="single" w:color="auto" w:sz="4" w:space="0"/>
            </w:tcBorders>
            <w:vAlign w:val="top"/>
          </w:tcPr>
          <w:p w14:paraId="4B67C9FA">
            <w:pPr>
              <w:jc w:val="center"/>
              <w:rPr>
                <w:rFonts w:hint="default" w:eastAsiaTheme="minorEastAsia"/>
                <w:lang w:val="en-US" w:eastAsia="zh-CN"/>
              </w:rPr>
            </w:pPr>
            <w:r>
              <w:rPr>
                <w:rFonts w:hint="eastAsia"/>
                <w:color w:val="auto"/>
                <w:highlight w:val="none"/>
                <w:lang w:val="en-US" w:eastAsia="zh-CN"/>
              </w:rPr>
              <w:t>26学时</w:t>
            </w:r>
          </w:p>
        </w:tc>
        <w:tc>
          <w:tcPr>
            <w:tcW w:w="1595" w:type="dxa"/>
            <w:tcBorders>
              <w:top w:val="single" w:color="auto" w:sz="4" w:space="0"/>
              <w:left w:val="single" w:color="auto" w:sz="4" w:space="0"/>
              <w:bottom w:val="single" w:color="auto" w:sz="4" w:space="0"/>
              <w:right w:val="single" w:color="auto" w:sz="4" w:space="0"/>
            </w:tcBorders>
            <w:vAlign w:val="top"/>
          </w:tcPr>
          <w:p w14:paraId="62FA2B02">
            <w:pPr>
              <w:jc w:val="both"/>
              <w:rPr>
                <w:rFonts w:hint="eastAsia"/>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6" w:type="dxa"/>
            <w:tcBorders>
              <w:top w:val="single" w:color="auto" w:sz="4" w:space="0"/>
              <w:left w:val="single" w:color="auto" w:sz="4" w:space="0"/>
              <w:bottom w:val="single" w:color="auto" w:sz="4" w:space="0"/>
              <w:right w:val="single" w:color="auto" w:sz="4" w:space="0"/>
            </w:tcBorders>
            <w:vAlign w:val="top"/>
          </w:tcPr>
          <w:p w14:paraId="2018A931">
            <w:pPr>
              <w:jc w:val="center"/>
              <w:rPr>
                <w:rFonts w:hint="eastAsia"/>
                <w:lang w:val="en-US" w:eastAsia="zh-CN"/>
              </w:rPr>
            </w:pPr>
            <w:r>
              <w:rPr>
                <w:rFonts w:hint="eastAsia"/>
                <w:color w:val="auto"/>
                <w:highlight w:val="none"/>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E051C4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A04CFF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highlight w:val="none"/>
                <w:lang w:val="en-US" w:eastAsia="zh-CN" w:bidi="ar-SA"/>
              </w:rPr>
              <w:t>1学分</w:t>
            </w:r>
          </w:p>
        </w:tc>
      </w:tr>
      <w:tr w14:paraId="0867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731EE1D">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vAlign w:val="top"/>
          </w:tcPr>
          <w:p w14:paraId="49FB6132">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highlight w:val="none"/>
                <w:lang w:val="en-US" w:eastAsia="zh-CN" w:bidi="ar-SA"/>
              </w:rPr>
              <w:t>畜牧兽医</w:t>
            </w:r>
          </w:p>
        </w:tc>
      </w:tr>
      <w:tr w14:paraId="4A70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FC0496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1D9BCD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Arial" w:hAnsi="Arial" w:eastAsia="宋体" w:cs="Arial"/>
                <w:color w:val="auto"/>
                <w:highlight w:val="none"/>
                <w:lang w:val="en-US" w:eastAsia="zh-CN"/>
              </w:rPr>
              <w:t>专业基础课</w:t>
            </w:r>
            <w:r>
              <w:rPr>
                <w:rFonts w:hint="eastAsia"/>
                <w:color w:val="auto"/>
                <w:highlight w:val="none"/>
                <w:lang w:eastAsia="zh-CN"/>
              </w:rPr>
              <w:t>□</w:t>
            </w:r>
            <w:r>
              <w:rPr>
                <w:rFonts w:hint="eastAsia"/>
                <w:color w:val="auto"/>
                <w:highlight w:val="none"/>
                <w:lang w:val="en-US" w:eastAsia="zh-CN"/>
              </w:rPr>
              <w:t>专业核心课</w:t>
            </w:r>
            <w:r>
              <w:rPr>
                <w:rFonts w:hint="eastAsia"/>
                <w:color w:val="auto"/>
                <w:highlight w:val="none"/>
              </w:rPr>
              <w:t>□</w:t>
            </w:r>
            <w:r>
              <w:rPr>
                <w:rFonts w:hint="eastAsia"/>
                <w:color w:val="auto"/>
                <w:highlight w:val="none"/>
                <w:lang w:val="en-US" w:eastAsia="zh-CN"/>
              </w:rPr>
              <w:t>专业选修课</w:t>
            </w:r>
            <w:r>
              <w:rPr>
                <w:rFonts w:hint="eastAsia"/>
                <w:color w:val="auto"/>
                <w:highlight w:val="none"/>
                <w:lang w:eastAsia="zh-CN"/>
              </w:rPr>
              <w:t>☑</w:t>
            </w:r>
            <w:r>
              <w:rPr>
                <w:rFonts w:hint="eastAsia"/>
                <w:color w:val="auto"/>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6A976A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E52799B">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理论课</w:t>
            </w: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理实一体</w:t>
            </w:r>
          </w:p>
          <w:p w14:paraId="44C61C9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集中性实践环节</w:t>
            </w:r>
          </w:p>
        </w:tc>
      </w:tr>
      <w:tr w14:paraId="0CFA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74D5B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center"/>
          </w:tcPr>
          <w:p w14:paraId="6A6BD988">
            <w:pPr>
              <w:pStyle w:val="16"/>
              <w:spacing w:before="0" w:beforeAutospacing="0" w:after="0" w:afterAutospacing="0" w:line="360" w:lineRule="auto"/>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岗位实习</w:t>
            </w:r>
          </w:p>
        </w:tc>
      </w:tr>
      <w:tr w14:paraId="325C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7493FA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center"/>
          </w:tcPr>
          <w:p w14:paraId="06741238">
            <w:pPr>
              <w:pStyle w:val="16"/>
              <w:spacing w:before="0" w:beforeAutospacing="0" w:after="0" w:afterAutospacing="0" w:line="360" w:lineRule="auto"/>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入职培训</w:t>
            </w:r>
          </w:p>
        </w:tc>
      </w:tr>
      <w:tr w14:paraId="7969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9BD461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A14262C">
            <w:pPr>
              <w:rPr>
                <w:rFonts w:ascii="Arial" w:hAnsi="Arial" w:eastAsia="宋体" w:cs="Arial"/>
                <w:kern w:val="2"/>
                <w:sz w:val="21"/>
                <w:szCs w:val="24"/>
                <w:lang w:val="en-US" w:eastAsia="zh-CN" w:bidi="ar-SA"/>
              </w:rPr>
            </w:pPr>
          </w:p>
        </w:tc>
      </w:tr>
      <w:tr w14:paraId="1FE7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7DDA42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0BFCE74">
            <w:pPr>
              <w:widowControl/>
              <w:jc w:val="center"/>
              <w:rPr>
                <w:rFonts w:hint="eastAsia"/>
              </w:rPr>
            </w:pPr>
            <w:r>
              <w:rPr>
                <w:rFonts w:hint="eastAsia"/>
                <w:color w:val="auto"/>
                <w:highlight w:val="none"/>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596DFE4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1622F3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01F6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D29F7E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D716C75">
            <w:pPr>
              <w:widowControl/>
              <w:jc w:val="center"/>
              <w:rPr>
                <w:rFonts w:hint="eastAsia"/>
              </w:rPr>
            </w:pPr>
            <w:r>
              <w:rPr>
                <w:rFonts w:hint="eastAsia"/>
                <w:sz w:val="21"/>
                <w:szCs w:val="21"/>
                <w:lang w:val="en-US" w:eastAsia="zh-CN"/>
              </w:rPr>
              <w:t>谭聪</w:t>
            </w:r>
          </w:p>
        </w:tc>
        <w:tc>
          <w:tcPr>
            <w:tcW w:w="975" w:type="dxa"/>
            <w:tcBorders>
              <w:top w:val="single" w:color="auto" w:sz="4" w:space="0"/>
              <w:left w:val="single" w:color="auto" w:sz="4" w:space="0"/>
              <w:bottom w:val="single" w:color="auto" w:sz="4" w:space="0"/>
              <w:right w:val="single" w:color="auto" w:sz="4" w:space="0"/>
            </w:tcBorders>
            <w:vAlign w:val="center"/>
          </w:tcPr>
          <w:p w14:paraId="361005AD">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9925CF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7979055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8EC8DF3">
      <w:pPr>
        <w:pStyle w:val="3"/>
        <w:bidi w:val="0"/>
        <w:rPr>
          <w:rFonts w:hint="eastAsia"/>
          <w:lang w:val="en-US" w:eastAsia="zh-CN"/>
        </w:rPr>
      </w:pPr>
      <w:r>
        <w:rPr>
          <w:rFonts w:hint="eastAsia"/>
          <w:lang w:val="en-US" w:eastAsia="zh-CN"/>
        </w:rPr>
        <w:t>二、课程定位</w:t>
      </w:r>
    </w:p>
    <w:p w14:paraId="707F4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以学生为中心，以就业为导向： 紧密对接石油化工行业的人才需求与转型趋势，解决学生从校园到职场的“最后一公里”问题。</w:t>
      </w:r>
    </w:p>
    <w:p w14:paraId="6ECC63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德育为先，能力为重： 将职业道德、工匠精神、安全环保意识培养置于首位，同时强化职场通用能力和职业发展能力。</w:t>
      </w:r>
    </w:p>
    <w:p w14:paraId="7E7BEB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val="en-US" w:eastAsia="zh-CN"/>
        </w:rPr>
        <w:t>模块化、专题化教学： 打破学科体系，根据毕业生核心需求，设计若干独立又关联的教育模块。</w:t>
      </w:r>
    </w:p>
    <w:p w14:paraId="7C9DD2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多元主体，协同育人： 整合校内教师、行业专家、企业骨干、优秀校友等多方资源，形成教育合力。</w:t>
      </w:r>
    </w:p>
    <w:p w14:paraId="3D8E2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注重仪式感与实效性： 通过庄严的仪式强化职业使命感，通过案例分析、情景模拟等增强教学实效。</w:t>
      </w:r>
    </w:p>
    <w:p w14:paraId="4BBCEA06">
      <w:pPr>
        <w:pStyle w:val="3"/>
        <w:bidi w:val="0"/>
        <w:rPr>
          <w:rFonts w:hint="eastAsia"/>
          <w:lang w:val="en-US" w:eastAsia="zh-CN"/>
        </w:rPr>
      </w:pPr>
      <w:r>
        <w:rPr>
          <w:rFonts w:hint="eastAsia"/>
          <w:lang w:val="en-US" w:eastAsia="zh-CN"/>
        </w:rPr>
        <w:t>三、课程设计思路</w:t>
      </w:r>
    </w:p>
    <w:p w14:paraId="2AB16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课程标准设计以高职畜牧兽医专业人才培养方案为核心依据，立足毕业阶段学生的岗位适配需求、职业发展规划及毕业实操要求，紧扣“岗课赛证”融合理念，将26课时科学拆分至理论引导、实践实操、职业素养、毕业指导四大模块，兼顾专业性、实用性与针对性，助力学生顺利衔接职场与完成毕业环节，实现“毕业即上岗、上岗即胜任”的培养目标。紧扣畜牧兽医行业产业链核心岗位（畜禽养殖技术员、动物疫病防治员、宠物医师助理、畜牧产品检测员等）的职业能力要求，将岗位实操规范、行业最新技术、政策法规（如《动物防疫法》《畜禽规模养殖污染防治条例》）融入课程内容。</w:t>
      </w:r>
    </w:p>
    <w:p w14:paraId="0F08E229">
      <w:pPr>
        <w:pStyle w:val="3"/>
        <w:bidi w:val="0"/>
        <w:rPr>
          <w:rFonts w:hint="eastAsia"/>
          <w:lang w:val="en-US" w:eastAsia="zh-CN"/>
        </w:rPr>
      </w:pPr>
      <w:r>
        <w:rPr>
          <w:rFonts w:hint="eastAsia"/>
          <w:lang w:val="en-US" w:eastAsia="zh-CN"/>
        </w:rPr>
        <w:t>四、课程目标</w:t>
      </w:r>
    </w:p>
    <w:p w14:paraId="4E6335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45B0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1.掌握畜牧兽医行业发展现状、政策法规、技术发展趋势及核心职业岗位（如畜禽养殖技术员、动物疫病防治员、宠物医师助理、兽药饲料营销员等）的任职要求。</w:t>
      </w:r>
    </w:p>
    <w:p w14:paraId="770A3D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2.理解职业规划的基本理论与方法，明确个人职业定位、发展路径及短期与长期职业目标。</w:t>
      </w:r>
    </w:p>
    <w:p w14:paraId="1A7654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3.熟悉求职就业的核心知识，包括简历制作、面试技巧、劳动合同签订、劳动权益保护等相关内容。</w:t>
      </w:r>
    </w:p>
    <w:p w14:paraId="2F898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4.了解畜牧兽医行业创新创业的政策支持、市场机遇、风险防控及基本流程。</w:t>
      </w:r>
    </w:p>
    <w:p w14:paraId="4C825A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5.掌握畜牧兽医行业职业道德规范、执业行为准则及行业相关法律法规（如《动物防疫法》《畜牧法》《兽药管理条例》等）的核心条款。</w:t>
      </w:r>
    </w:p>
    <w:p w14:paraId="71FDDF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D9EB2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1.能够结合自身专业基础、职业兴趣及行业需求，制定科学合理的个人职业规划方案。</w:t>
      </w:r>
    </w:p>
    <w:p w14:paraId="33F70E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2.具备独立制作高质量简历、准备面试材料的能力，能够从容应对求职面试中的常见问题，提高就业竞争力。</w:t>
      </w:r>
    </w:p>
    <w:p w14:paraId="32E80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3.能够识别职场中的基本权益风险，掌握劳动合同签订的关键要点，具备维护自身劳动权益的初步能力。</w:t>
      </w:r>
    </w:p>
    <w:p w14:paraId="3AEFA7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4.能够运用专业知识分析畜牧兽医行业的创业机会，初步形成简单的创新创业思路或方案。</w:t>
      </w:r>
    </w:p>
    <w:p w14:paraId="09B64C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5.具备在职业场景中遵守行业规范、践行职业道德的实践能力，能够妥善处理简单的职业伦理问题。</w:t>
      </w:r>
    </w:p>
    <w:p w14:paraId="1691A5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CE4D2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1.树立正确的职业价值观和就业观，培养爱岗敬业、诚实守信、严谨务实的职业素养。</w:t>
      </w:r>
    </w:p>
    <w:p w14:paraId="28471A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增强团队协作意识和沟通表达能力，具备适应职场环境的社会交往素质。</w:t>
      </w:r>
    </w:p>
    <w:p w14:paraId="4D14BC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培养自主学习能力和终身学习意识，能够主动适应畜牧兽医行业技术发展和职业岗位变化。</w:t>
      </w:r>
    </w:p>
    <w:p w14:paraId="4172CF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提升抗压能力和挫折承受能力，具备积极乐观、坚韧不拔的职业心态。</w:t>
      </w:r>
    </w:p>
    <w:p w14:paraId="7030CC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强化创新意识和进取精神，激发主动探索、勇于突破的职业发展潜力。</w:t>
      </w:r>
    </w:p>
    <w:p w14:paraId="144BFC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71D21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坚定理想信念，厚植爱国主义情怀，认识畜牧兽医行业在保障国家食品安全、促进农业农村现代化、维护公共卫生安全中的重要作用，增强行业自豪感和社会责任感。</w:t>
      </w:r>
    </w:p>
    <w:p w14:paraId="4806BD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弘扬社会主义核心价值观，引导学生将个人职业发展与国家战略、行业需求相结合，树立 “扎根基层、服务三农” 的职业追求。</w:t>
      </w:r>
    </w:p>
    <w:p w14:paraId="3E5F66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强化法治观念和规则意识，引导学生自觉遵守行业法律法规和职业行为规范，做到依法执业、廉洁从业。</w:t>
      </w:r>
    </w:p>
    <w:p w14:paraId="6D0900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传承艰苦奋斗、甘于奉献的优良传统，培养学生不怕吃苦、勇于担当的精神品质，鼓励学生到基层一线、艰苦岗位建功立业。</w:t>
      </w:r>
    </w:p>
    <w:p w14:paraId="291A33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培育生态文明理念，引导学生在养殖生产、疫病防治等工作中注重环境保护、动物福利，践行绿色发展理念。</w:t>
      </w:r>
    </w:p>
    <w:p w14:paraId="41BEE806">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721"/>
        <w:gridCol w:w="2511"/>
        <w:gridCol w:w="1890"/>
        <w:gridCol w:w="1719"/>
        <w:gridCol w:w="732"/>
      </w:tblGrid>
      <w:tr w14:paraId="09CB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648" w:type="pct"/>
            <w:vAlign w:val="center"/>
          </w:tcPr>
          <w:p w14:paraId="4D1A3CB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0429AF1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873" w:type="pct"/>
            <w:vAlign w:val="center"/>
          </w:tcPr>
          <w:p w14:paraId="7C77029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w:t>
            </w:r>
          </w:p>
          <w:p w14:paraId="23536CB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（节）</w:t>
            </w:r>
          </w:p>
        </w:tc>
        <w:tc>
          <w:tcPr>
            <w:tcW w:w="1274" w:type="pct"/>
            <w:vAlign w:val="center"/>
          </w:tcPr>
          <w:p w14:paraId="7E59DEF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tc>
        <w:tc>
          <w:tcPr>
            <w:tcW w:w="959" w:type="pct"/>
            <w:vAlign w:val="center"/>
          </w:tcPr>
          <w:p w14:paraId="23A6132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tc>
        <w:tc>
          <w:tcPr>
            <w:tcW w:w="872" w:type="pct"/>
            <w:vAlign w:val="center"/>
          </w:tcPr>
          <w:p w14:paraId="1E6FAF6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tc>
        <w:tc>
          <w:tcPr>
            <w:tcW w:w="371" w:type="pct"/>
            <w:vAlign w:val="center"/>
          </w:tcPr>
          <w:p w14:paraId="61274AB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r>
      <w:tr w14:paraId="374F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6261F9CF">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情景一：行业认知与职业定位</w:t>
            </w:r>
          </w:p>
        </w:tc>
        <w:tc>
          <w:tcPr>
            <w:tcW w:w="873" w:type="pct"/>
            <w:vAlign w:val="center"/>
          </w:tcPr>
          <w:p w14:paraId="4060049E">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调研畜牧兽医行业发展现状与趋势；2. 分析核心职业岗位任职要求；3. 制定个人职业规划</w:t>
            </w:r>
          </w:p>
        </w:tc>
        <w:tc>
          <w:tcPr>
            <w:tcW w:w="1274" w:type="pct"/>
            <w:vAlign w:val="center"/>
          </w:tcPr>
          <w:p w14:paraId="406DDB81">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畜牧兽医行业政策法规、产业布局、技术发展趋势；2. 核心职业岗位（养殖、防疫、诊疗、营销等）的工作内容、技能要求、职业发展路径；3. 职业规划的基本原则、方法与步骤；4. 自我认知的常用工具（如职业兴趣测试、能力评估等）</w:t>
            </w:r>
          </w:p>
        </w:tc>
        <w:tc>
          <w:tcPr>
            <w:tcW w:w="959" w:type="pct"/>
            <w:vAlign w:val="center"/>
          </w:tcPr>
          <w:p w14:paraId="326B95AA">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运用网络、行业报告、企业调研等方式收集行业信息；2. 结合自身情况进行职业兴趣、能力评估；3. 撰写个人职业规划书</w:t>
            </w:r>
          </w:p>
        </w:tc>
        <w:tc>
          <w:tcPr>
            <w:tcW w:w="872" w:type="pct"/>
            <w:vAlign w:val="center"/>
          </w:tcPr>
          <w:p w14:paraId="44232388">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行业在国家战略中的重要地位，增强行业自豪感；2. 将个人发展与行业、国家需求结合，树立正确职业理想；3. 培养求真务实的调研态度和科学规划的思维方式</w:t>
            </w:r>
          </w:p>
        </w:tc>
        <w:tc>
          <w:tcPr>
            <w:tcW w:w="371" w:type="pct"/>
            <w:vAlign w:val="center"/>
          </w:tcPr>
          <w:p w14:paraId="6A184BFD">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6</w:t>
            </w:r>
          </w:p>
        </w:tc>
      </w:tr>
      <w:tr w14:paraId="0831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09183881">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情景二：求职就业技能提升</w:t>
            </w:r>
          </w:p>
        </w:tc>
        <w:tc>
          <w:tcPr>
            <w:tcW w:w="873" w:type="pct"/>
            <w:vAlign w:val="center"/>
          </w:tcPr>
          <w:p w14:paraId="55BCC6C3">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制作个人求职简历；2. 准备求职面试；3. 掌握劳动合同签订与劳动权益保护知识</w:t>
            </w:r>
          </w:p>
        </w:tc>
        <w:tc>
          <w:tcPr>
            <w:tcW w:w="1274" w:type="pct"/>
            <w:vAlign w:val="center"/>
          </w:tcPr>
          <w:p w14:paraId="523FCD56">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简历制作的结构、技巧与注意事项；2. 面试的流程、常见问题及应答策略；3. 劳动合同的核心条款、签订流程、法律效力；4. 劳动报酬、社会保险、劳动保护等劳动权益相关知识；5. 求职过程中的诚信要求与礼仪规范</w:t>
            </w:r>
          </w:p>
        </w:tc>
        <w:tc>
          <w:tcPr>
            <w:tcW w:w="959" w:type="pct"/>
            <w:vAlign w:val="center"/>
          </w:tcPr>
          <w:p w14:paraId="52ADBDF8">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制作针对性强、突出专业优势的简历；2. 进行面试模拟演练，提升面试表达和应变能力；3. 识别劳动合同中的风险点，掌握劳动权益维护的基本途径</w:t>
            </w:r>
          </w:p>
        </w:tc>
        <w:tc>
          <w:tcPr>
            <w:tcW w:w="872" w:type="pct"/>
            <w:vAlign w:val="center"/>
          </w:tcPr>
          <w:p w14:paraId="6E66B79F">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诚实守信的职业品质（简历真实、面试诚信）；2. 法治观念（劳动合同签订、权益保护）；3. 职业礼仪与文明素养</w:t>
            </w:r>
          </w:p>
        </w:tc>
        <w:tc>
          <w:tcPr>
            <w:tcW w:w="371" w:type="pct"/>
            <w:vAlign w:val="center"/>
          </w:tcPr>
          <w:p w14:paraId="03B9F725">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8</w:t>
            </w:r>
          </w:p>
        </w:tc>
      </w:tr>
      <w:tr w14:paraId="58F4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5A93365B">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情景三：职业道德与行业规范</w:t>
            </w:r>
          </w:p>
        </w:tc>
        <w:tc>
          <w:tcPr>
            <w:tcW w:w="873" w:type="pct"/>
            <w:vAlign w:val="center"/>
          </w:tcPr>
          <w:p w14:paraId="3E628963">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学习畜牧兽医行业职业道德规范；2. 分析职业伦理案例；3. 践行职业行为准则</w:t>
            </w:r>
          </w:p>
        </w:tc>
        <w:tc>
          <w:tcPr>
            <w:tcW w:w="1274" w:type="pct"/>
            <w:vAlign w:val="center"/>
          </w:tcPr>
          <w:p w14:paraId="5D94EB0D">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畜牧兽医行业职业道德的核心内容（爱岗敬业、诚实守信、关爱动物、尊重生命等）；2. 《动物防疫法》《畜牧法》等相关法律法规的核心条款；3. 职业伦理常见问题（如疫病上报、用药规范、动物福利等）；4. 执业兽医注册、继续教育等行业管理制度</w:t>
            </w:r>
          </w:p>
        </w:tc>
        <w:tc>
          <w:tcPr>
            <w:tcW w:w="959" w:type="pct"/>
            <w:vAlign w:val="center"/>
          </w:tcPr>
          <w:p w14:paraId="7EC87117">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运用职业道德规范分析和解决简单的职业伦理案例；2. 在模拟职业场景中践行行业规范和执业准则；3. 掌握行业法律法规的基本应用方法</w:t>
            </w:r>
          </w:p>
        </w:tc>
        <w:tc>
          <w:tcPr>
            <w:tcW w:w="872" w:type="pct"/>
            <w:vAlign w:val="center"/>
          </w:tcPr>
          <w:p w14:paraId="6BABD320">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法治意识与规则意识；2. 关爱生命、尊重动物福利的人文情怀；3. 爱岗敬业、责任担当的职业精神</w:t>
            </w:r>
          </w:p>
        </w:tc>
        <w:tc>
          <w:tcPr>
            <w:tcW w:w="371" w:type="pct"/>
            <w:vAlign w:val="center"/>
          </w:tcPr>
          <w:p w14:paraId="18D1B02B">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w:t>
            </w:r>
          </w:p>
        </w:tc>
      </w:tr>
      <w:tr w14:paraId="62FC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1C9EBDDA">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情景四：创新创业能力培养</w:t>
            </w:r>
          </w:p>
        </w:tc>
        <w:tc>
          <w:tcPr>
            <w:tcW w:w="873" w:type="pct"/>
            <w:vAlign w:val="center"/>
          </w:tcPr>
          <w:p w14:paraId="5B715C80">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分析畜牧兽医行业创业机遇与风险；2. 设计简单的创新创业方案</w:t>
            </w:r>
          </w:p>
        </w:tc>
        <w:tc>
          <w:tcPr>
            <w:tcW w:w="1274" w:type="pct"/>
            <w:vAlign w:val="center"/>
          </w:tcPr>
          <w:p w14:paraId="65647845">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畜牧兽医行业创新创业政策支持（补贴、贷款、孵化基地等）；2. 创新创业常见领域（特色养殖、疫病防控服务、兽药饲料研发与营销、宠物服务等）；3. 创业计划书的基本结构与核心内容；4. 创新创业风险识别与防控方法</w:t>
            </w:r>
          </w:p>
        </w:tc>
        <w:tc>
          <w:tcPr>
            <w:tcW w:w="959" w:type="pct"/>
            <w:vAlign w:val="center"/>
          </w:tcPr>
          <w:p w14:paraId="19950CB1">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调研分析行业创业机会；2. 撰写简单的创业计划书框架；3. 初步评估创业项目的可行性</w:t>
            </w:r>
          </w:p>
        </w:tc>
        <w:tc>
          <w:tcPr>
            <w:tcW w:w="872" w:type="pct"/>
            <w:vAlign w:val="center"/>
          </w:tcPr>
          <w:p w14:paraId="396D7DD9">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创新意识与进取精神；2. 艰苦奋斗、勇于担当的创业精神；3. 服务三农、助力乡村振兴的责任担当</w:t>
            </w:r>
          </w:p>
        </w:tc>
        <w:tc>
          <w:tcPr>
            <w:tcW w:w="371" w:type="pct"/>
            <w:vAlign w:val="center"/>
          </w:tcPr>
          <w:p w14:paraId="2FEC86A7">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w:t>
            </w:r>
          </w:p>
        </w:tc>
      </w:tr>
      <w:tr w14:paraId="007A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58358C86">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情景五：职场适应与职业发展</w:t>
            </w:r>
          </w:p>
        </w:tc>
        <w:tc>
          <w:tcPr>
            <w:tcW w:w="873" w:type="pct"/>
            <w:vAlign w:val="center"/>
          </w:tcPr>
          <w:p w14:paraId="55FE68E4">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学习职场沟通与团队协作技巧；2. 掌握终身学习与职业提升方法；3. 开展毕业顶岗实习准备</w:t>
            </w:r>
          </w:p>
        </w:tc>
        <w:tc>
          <w:tcPr>
            <w:tcW w:w="1274" w:type="pct"/>
            <w:vAlign w:val="center"/>
          </w:tcPr>
          <w:p w14:paraId="1D705E83">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职场沟通礼仪、有效表达、倾听与反馈技巧；2. 团队协作的基本原则与方法；3. 终身学习的途径（继续教育、技能培训、行业交流等）；4. 毕业顶岗实习的要求、安全规范、考核标准</w:t>
            </w:r>
          </w:p>
        </w:tc>
        <w:tc>
          <w:tcPr>
            <w:tcW w:w="959" w:type="pct"/>
            <w:vAlign w:val="center"/>
          </w:tcPr>
          <w:p w14:paraId="2B05C06F">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进行职场沟通与团队协作模拟演练；2. 制定个人终身学习计划；3. 做好顶岗实习的心理、技能、安全准备</w:t>
            </w:r>
          </w:p>
        </w:tc>
        <w:tc>
          <w:tcPr>
            <w:tcW w:w="872" w:type="pct"/>
            <w:vAlign w:val="center"/>
          </w:tcPr>
          <w:p w14:paraId="46CF305E">
            <w:pPr>
              <w:pStyle w:val="36"/>
              <w:keepNext/>
              <w:widowControl w:val="0"/>
              <w:snapToGrid w:val="0"/>
              <w:spacing w:line="240" w:lineRule="auto"/>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1. 团队协作意识与集体主义精神；2. 终身学习意识与自我提升能力；3. 安全意识与责任担当；4. 扎根基层、吃苦耐劳的职业品质</w:t>
            </w:r>
          </w:p>
        </w:tc>
        <w:tc>
          <w:tcPr>
            <w:tcW w:w="371" w:type="pct"/>
            <w:vAlign w:val="center"/>
          </w:tcPr>
          <w:p w14:paraId="4A59AEFA">
            <w:pPr>
              <w:pStyle w:val="36"/>
              <w:keepNext/>
              <w:widowControl w:val="0"/>
              <w:snapToGrid w:val="0"/>
              <w:spacing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4</w:t>
            </w:r>
          </w:p>
        </w:tc>
      </w:tr>
      <w:tr w14:paraId="2961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pct"/>
            <w:vAlign w:val="center"/>
          </w:tcPr>
          <w:p w14:paraId="3B6A739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c>
          <w:tcPr>
            <w:tcW w:w="873" w:type="pct"/>
            <w:vAlign w:val="center"/>
          </w:tcPr>
          <w:p w14:paraId="0FB464C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c>
          <w:tcPr>
            <w:tcW w:w="1274" w:type="pct"/>
            <w:vAlign w:val="center"/>
          </w:tcPr>
          <w:p w14:paraId="7D36348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c>
          <w:tcPr>
            <w:tcW w:w="959" w:type="pct"/>
            <w:vAlign w:val="center"/>
          </w:tcPr>
          <w:p w14:paraId="0144643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c>
          <w:tcPr>
            <w:tcW w:w="872" w:type="pct"/>
            <w:vAlign w:val="center"/>
          </w:tcPr>
          <w:p w14:paraId="6648D1A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c>
          <w:tcPr>
            <w:tcW w:w="371" w:type="pct"/>
            <w:vAlign w:val="center"/>
          </w:tcPr>
          <w:p w14:paraId="316D5F5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p>
        </w:tc>
      </w:tr>
    </w:tbl>
    <w:p w14:paraId="6F45BAE3">
      <w:pPr>
        <w:pStyle w:val="3"/>
        <w:bidi w:val="0"/>
        <w:rPr>
          <w:rFonts w:hint="eastAsia"/>
          <w:lang w:val="en-US" w:eastAsia="zh-CN"/>
        </w:rPr>
      </w:pPr>
      <w:r>
        <w:rPr>
          <w:rFonts w:hint="eastAsia"/>
          <w:lang w:val="en-US" w:eastAsia="zh-CN"/>
        </w:rPr>
        <w:t>六、课程考核与评价</w:t>
      </w:r>
    </w:p>
    <w:p w14:paraId="2DAF2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16B3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26" w:type="dxa"/>
            <w:gridSpan w:val="2"/>
            <w:tcBorders>
              <w:left w:val="single" w:color="auto" w:sz="4" w:space="0"/>
              <w:right w:val="single" w:color="auto" w:sz="4" w:space="0"/>
            </w:tcBorders>
            <w:vAlign w:val="center"/>
          </w:tcPr>
          <w:p w14:paraId="0F7CE17E">
            <w:pPr>
              <w:jc w:val="center"/>
              <w:rPr>
                <w:rFonts w:hint="eastAsia"/>
                <w:b/>
                <w:bCs/>
                <w:color w:val="auto"/>
                <w:highlight w:val="none"/>
                <w:lang w:val="en-US" w:eastAsia="zh-CN"/>
              </w:rPr>
            </w:pPr>
            <w:r>
              <w:rPr>
                <w:rFonts w:hint="eastAsia"/>
                <w:b/>
                <w:bCs/>
                <w:color w:val="auto"/>
                <w:highlight w:val="none"/>
                <w:lang w:val="en-US" w:eastAsia="zh-CN"/>
              </w:rPr>
              <w:t>评价项目</w:t>
            </w:r>
          </w:p>
        </w:tc>
        <w:tc>
          <w:tcPr>
            <w:tcW w:w="2279" w:type="dxa"/>
            <w:tcBorders>
              <w:left w:val="single" w:color="auto" w:sz="4" w:space="0"/>
              <w:right w:val="single" w:color="auto" w:sz="4" w:space="0"/>
            </w:tcBorders>
            <w:vAlign w:val="center"/>
          </w:tcPr>
          <w:p w14:paraId="6CA6A2BF">
            <w:pPr>
              <w:jc w:val="center"/>
              <w:rPr>
                <w:rFonts w:hint="eastAsia"/>
                <w:b/>
                <w:bCs/>
                <w:color w:val="auto"/>
                <w:highlight w:val="none"/>
              </w:rPr>
            </w:pPr>
            <w:r>
              <w:rPr>
                <w:rFonts w:hint="eastAsia"/>
                <w:b/>
                <w:bCs/>
                <w:color w:val="auto"/>
                <w:highlight w:val="none"/>
              </w:rPr>
              <w:t>评价方式</w:t>
            </w:r>
          </w:p>
        </w:tc>
        <w:tc>
          <w:tcPr>
            <w:tcW w:w="1417" w:type="dxa"/>
            <w:tcBorders>
              <w:left w:val="single" w:color="auto" w:sz="4" w:space="0"/>
              <w:right w:val="single" w:color="auto" w:sz="4" w:space="0"/>
            </w:tcBorders>
            <w:vAlign w:val="center"/>
          </w:tcPr>
          <w:p w14:paraId="79023EC0">
            <w:pPr>
              <w:jc w:val="center"/>
              <w:rPr>
                <w:rFonts w:hint="eastAsia"/>
                <w:b/>
                <w:bCs/>
                <w:color w:val="auto"/>
                <w:highlight w:val="none"/>
                <w:lang w:val="en-US" w:eastAsia="zh-CN"/>
              </w:rPr>
            </w:pPr>
            <w:r>
              <w:rPr>
                <w:rFonts w:hint="eastAsia"/>
                <w:b/>
                <w:bCs/>
                <w:color w:val="auto"/>
                <w:highlight w:val="none"/>
                <w:lang w:val="en-US" w:eastAsia="zh-CN"/>
              </w:rPr>
              <w:t>分值比例</w:t>
            </w:r>
          </w:p>
        </w:tc>
        <w:tc>
          <w:tcPr>
            <w:tcW w:w="3825" w:type="dxa"/>
            <w:tcBorders>
              <w:left w:val="single" w:color="auto" w:sz="4" w:space="0"/>
              <w:right w:val="single" w:color="auto" w:sz="4" w:space="0"/>
            </w:tcBorders>
            <w:vAlign w:val="center"/>
          </w:tcPr>
          <w:p w14:paraId="5E52E8EE">
            <w:pPr>
              <w:jc w:val="center"/>
              <w:rPr>
                <w:rFonts w:hint="eastAsia"/>
                <w:b/>
                <w:bCs/>
                <w:color w:val="auto"/>
                <w:highlight w:val="none"/>
                <w:lang w:val="en-US" w:eastAsia="zh-CN"/>
              </w:rPr>
            </w:pPr>
            <w:r>
              <w:rPr>
                <w:rFonts w:hint="eastAsia"/>
                <w:b/>
                <w:bCs/>
                <w:color w:val="auto"/>
                <w:highlight w:val="none"/>
                <w:lang w:val="en-US" w:eastAsia="zh-CN"/>
              </w:rPr>
              <w:t>评价标准</w:t>
            </w:r>
          </w:p>
        </w:tc>
      </w:tr>
      <w:tr w14:paraId="31A0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001462EC">
            <w:pPr>
              <w:jc w:val="center"/>
              <w:rPr>
                <w:rFonts w:hint="eastAsia"/>
                <w:b/>
                <w:bCs/>
                <w:color w:val="auto"/>
                <w:highlight w:val="none"/>
                <w:lang w:val="en-US" w:eastAsia="zh-CN"/>
              </w:rPr>
            </w:pPr>
            <w:r>
              <w:rPr>
                <w:rFonts w:hint="eastAsia"/>
                <w:b/>
                <w:bCs/>
                <w:color w:val="auto"/>
                <w:highlight w:val="none"/>
                <w:lang w:val="en-US" w:eastAsia="zh-CN"/>
              </w:rPr>
              <w:t>过程性评价</w:t>
            </w:r>
          </w:p>
        </w:tc>
        <w:tc>
          <w:tcPr>
            <w:tcW w:w="1620" w:type="dxa"/>
            <w:tcBorders>
              <w:left w:val="single" w:color="auto" w:sz="4" w:space="0"/>
              <w:right w:val="single" w:color="auto" w:sz="4" w:space="0"/>
            </w:tcBorders>
            <w:vAlign w:val="center"/>
          </w:tcPr>
          <w:p w14:paraId="784F82E9">
            <w:pPr>
              <w:jc w:val="center"/>
              <w:rPr>
                <w:rFonts w:hint="eastAsia"/>
                <w:b/>
                <w:bCs/>
                <w:color w:val="auto"/>
                <w:highlight w:val="none"/>
                <w:lang w:val="en-US" w:eastAsia="zh-CN"/>
              </w:rPr>
            </w:pPr>
            <w:r>
              <w:rPr>
                <w:rFonts w:hint="eastAsia"/>
                <w:b/>
                <w:bCs/>
                <w:color w:val="auto"/>
                <w:highlight w:val="none"/>
                <w:lang w:val="en-US" w:eastAsia="zh-CN"/>
              </w:rPr>
              <w:t>平时评价</w:t>
            </w:r>
          </w:p>
        </w:tc>
        <w:tc>
          <w:tcPr>
            <w:tcW w:w="2279" w:type="dxa"/>
            <w:tcBorders>
              <w:left w:val="single" w:color="auto" w:sz="4" w:space="0"/>
              <w:right w:val="single" w:color="auto" w:sz="4" w:space="0"/>
            </w:tcBorders>
            <w:shd w:val="clear" w:color="auto" w:fill="auto"/>
            <w:vAlign w:val="center"/>
          </w:tcPr>
          <w:p w14:paraId="2C3069B0">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以课堂展示、课堂交流、课堂活动涉及的形式进行</w:t>
            </w:r>
          </w:p>
        </w:tc>
        <w:tc>
          <w:tcPr>
            <w:tcW w:w="1417" w:type="dxa"/>
            <w:tcBorders>
              <w:left w:val="single" w:color="auto" w:sz="4" w:space="0"/>
              <w:right w:val="single" w:color="auto" w:sz="4" w:space="0"/>
            </w:tcBorders>
            <w:shd w:val="clear" w:color="auto" w:fill="auto"/>
            <w:vAlign w:val="center"/>
          </w:tcPr>
          <w:p w14:paraId="2ABF32B1">
            <w:pPr>
              <w:spacing w:line="360" w:lineRule="auto"/>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3</w:t>
            </w:r>
            <w:r>
              <w:rPr>
                <w:rFonts w:ascii="Arial" w:hAnsi="Arial" w:eastAsia="宋体" w:cs="Arial"/>
                <w:color w:val="auto"/>
                <w:highlight w:val="none"/>
              </w:rPr>
              <w:t>0%</w:t>
            </w:r>
          </w:p>
        </w:tc>
        <w:tc>
          <w:tcPr>
            <w:tcW w:w="3825" w:type="dxa"/>
            <w:tcBorders>
              <w:left w:val="single" w:color="auto" w:sz="4" w:space="0"/>
              <w:right w:val="single" w:color="auto" w:sz="4" w:space="0"/>
            </w:tcBorders>
            <w:vAlign w:val="center"/>
          </w:tcPr>
          <w:p w14:paraId="0C366530">
            <w:pPr>
              <w:jc w:val="both"/>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设计课堂活动，以提问、交流、做解答等进行过程评价</w:t>
            </w:r>
          </w:p>
        </w:tc>
      </w:tr>
      <w:tr w14:paraId="5442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2F872A6">
            <w:pPr>
              <w:jc w:val="center"/>
              <w:rPr>
                <w:rFonts w:hint="eastAsia"/>
                <w:b/>
                <w:bCs/>
                <w:color w:val="auto"/>
                <w:highlight w:val="none"/>
                <w:lang w:val="en-US" w:eastAsia="zh-CN"/>
              </w:rPr>
            </w:pPr>
          </w:p>
        </w:tc>
        <w:tc>
          <w:tcPr>
            <w:tcW w:w="1620" w:type="dxa"/>
            <w:tcBorders>
              <w:left w:val="single" w:color="auto" w:sz="4" w:space="0"/>
              <w:right w:val="single" w:color="auto" w:sz="4" w:space="0"/>
            </w:tcBorders>
            <w:vAlign w:val="center"/>
          </w:tcPr>
          <w:p w14:paraId="72B670B0">
            <w:pPr>
              <w:jc w:val="center"/>
              <w:rPr>
                <w:rFonts w:hint="eastAsia"/>
                <w:b/>
                <w:bCs/>
                <w:color w:val="auto"/>
                <w:highlight w:val="none"/>
                <w:lang w:val="en-US" w:eastAsia="zh-CN"/>
              </w:rPr>
            </w:pPr>
            <w:r>
              <w:rPr>
                <w:rFonts w:hint="eastAsia"/>
                <w:b/>
                <w:bCs/>
                <w:color w:val="auto"/>
                <w:highlight w:val="none"/>
                <w:lang w:val="en-US" w:eastAsia="zh-CN"/>
              </w:rPr>
              <w:t>模块评价</w:t>
            </w:r>
          </w:p>
        </w:tc>
        <w:tc>
          <w:tcPr>
            <w:tcW w:w="2279" w:type="dxa"/>
            <w:tcBorders>
              <w:left w:val="single" w:color="auto" w:sz="4" w:space="0"/>
              <w:right w:val="single" w:color="auto" w:sz="4" w:space="0"/>
            </w:tcBorders>
            <w:vAlign w:val="center"/>
          </w:tcPr>
          <w:p w14:paraId="74F14BEF">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以模块作业的形式进行</w:t>
            </w:r>
          </w:p>
        </w:tc>
        <w:tc>
          <w:tcPr>
            <w:tcW w:w="1417" w:type="dxa"/>
            <w:tcBorders>
              <w:left w:val="single" w:color="auto" w:sz="4" w:space="0"/>
              <w:right w:val="single" w:color="auto" w:sz="4" w:space="0"/>
            </w:tcBorders>
            <w:vAlign w:val="center"/>
          </w:tcPr>
          <w:p w14:paraId="0253910C">
            <w:pPr>
              <w:spacing w:line="360" w:lineRule="auto"/>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40</w:t>
            </w:r>
            <w:r>
              <w:rPr>
                <w:rFonts w:ascii="Arial" w:hAnsi="Arial" w:eastAsia="宋体" w:cs="Arial"/>
                <w:color w:val="auto"/>
                <w:highlight w:val="none"/>
              </w:rPr>
              <w:t>%</w:t>
            </w:r>
          </w:p>
        </w:tc>
        <w:tc>
          <w:tcPr>
            <w:tcW w:w="3825" w:type="dxa"/>
            <w:tcBorders>
              <w:left w:val="single" w:color="auto" w:sz="4" w:space="0"/>
              <w:right w:val="single" w:color="auto" w:sz="4" w:space="0"/>
            </w:tcBorders>
            <w:vAlign w:val="center"/>
          </w:tcPr>
          <w:p w14:paraId="2C8BD9B3">
            <w:pPr>
              <w:jc w:val="both"/>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以试卷、提问考核或课堂展示的方式对单元的基本知识和重点内容进行考核</w:t>
            </w:r>
          </w:p>
        </w:tc>
      </w:tr>
      <w:tr w14:paraId="21C6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60B5056B">
            <w:pPr>
              <w:jc w:val="center"/>
              <w:rPr>
                <w:rFonts w:hint="eastAsia"/>
                <w:b/>
                <w:bCs/>
                <w:color w:val="auto"/>
                <w:highlight w:val="none"/>
                <w:lang w:val="en-US" w:eastAsia="zh-CN"/>
              </w:rPr>
            </w:pPr>
            <w:r>
              <w:rPr>
                <w:rFonts w:hint="eastAsia"/>
                <w:b/>
                <w:bCs/>
                <w:color w:val="auto"/>
                <w:highlight w:val="none"/>
                <w:lang w:val="en-US" w:eastAsia="zh-CN"/>
              </w:rPr>
              <w:t>终结性评价</w:t>
            </w:r>
          </w:p>
        </w:tc>
        <w:tc>
          <w:tcPr>
            <w:tcW w:w="2279" w:type="dxa"/>
            <w:tcBorders>
              <w:left w:val="single" w:color="auto" w:sz="4" w:space="0"/>
              <w:right w:val="single" w:color="auto" w:sz="4" w:space="0"/>
            </w:tcBorders>
            <w:vAlign w:val="center"/>
          </w:tcPr>
          <w:p w14:paraId="40B6AF69">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结业总结</w:t>
            </w:r>
          </w:p>
          <w:p w14:paraId="39320A85">
            <w:pPr>
              <w:jc w:val="center"/>
              <w:rPr>
                <w:rFonts w:hint="default" w:ascii="Arial" w:hAnsi="Arial" w:eastAsia="宋体" w:cs="Arial"/>
                <w:color w:val="auto"/>
                <w:highlight w:val="none"/>
                <w:lang w:val="en-US" w:eastAsia="zh-CN"/>
              </w:rPr>
            </w:pPr>
            <w:r>
              <w:rPr>
                <w:rFonts w:hint="eastAsia" w:ascii="Arial" w:hAnsi="Arial" w:eastAsia="宋体" w:cs="Arial"/>
                <w:color w:val="auto"/>
                <w:highlight w:val="none"/>
                <w:lang w:val="en-US" w:eastAsia="zh-CN"/>
              </w:rPr>
              <w:t>撰写毕业教育学习心得与职业承诺</w:t>
            </w:r>
          </w:p>
        </w:tc>
        <w:tc>
          <w:tcPr>
            <w:tcW w:w="1417" w:type="dxa"/>
            <w:tcBorders>
              <w:left w:val="single" w:color="auto" w:sz="4" w:space="0"/>
              <w:right w:val="single" w:color="auto" w:sz="4" w:space="0"/>
            </w:tcBorders>
            <w:vAlign w:val="center"/>
          </w:tcPr>
          <w:p w14:paraId="729587D7">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30%</w:t>
            </w:r>
          </w:p>
        </w:tc>
        <w:tc>
          <w:tcPr>
            <w:tcW w:w="3825" w:type="dxa"/>
            <w:tcBorders>
              <w:left w:val="single" w:color="auto" w:sz="4" w:space="0"/>
              <w:right w:val="single" w:color="auto" w:sz="4" w:space="0"/>
            </w:tcBorders>
            <w:vAlign w:val="center"/>
          </w:tcPr>
          <w:p w14:paraId="4194E300">
            <w:pPr>
              <w:jc w:val="both"/>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对课程进行总体考核，考试学生对基本知识和基本技能的掌握程度</w:t>
            </w:r>
          </w:p>
        </w:tc>
      </w:tr>
    </w:tbl>
    <w:p w14:paraId="404BEB3C">
      <w:pPr>
        <w:pStyle w:val="3"/>
        <w:bidi w:val="0"/>
        <w:rPr>
          <w:rFonts w:hint="eastAsia"/>
          <w:lang w:val="en-US" w:eastAsia="zh-CN"/>
        </w:rPr>
      </w:pPr>
      <w:r>
        <w:rPr>
          <w:rFonts w:hint="eastAsia"/>
          <w:lang w:val="en-US" w:eastAsia="zh-CN"/>
        </w:rPr>
        <w:t>七、课程实施与保障</w:t>
      </w:r>
    </w:p>
    <w:p w14:paraId="41EE1E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158C4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课程建议采用探究式以及模块化教学方法，选用线上线下混合式教学组织形式，建议采用信息化教学法、小组协作等教学方法，选用小组合作等学习方法,依托智慧职教资源库、智慧职教MOOC学院、智慧职教SPOC、智慧化工虚拟仿真实训基地等课程资源和教学平台实施教学。</w:t>
      </w:r>
    </w:p>
    <w:p w14:paraId="0EADFA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189C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全程融入工匠精神、科学家精神、劳模精神、诚信敬业、家国情怀等元素，特别是在行业认知、安全教育和校友分享环节。课程内容应每年根据行业最新政策、技术动态和毕业生反馈进行不少于10%的更新优化。</w:t>
      </w:r>
    </w:p>
    <w:p w14:paraId="535FE5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F90A9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9E631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专职教师在13人左右，其中专职教师11人。应具备双师素质资格，具有一定的实践经验，教学效果良好，职称和年龄结构合理。</w:t>
      </w:r>
    </w:p>
    <w:p w14:paraId="63CB48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B7753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592"/>
        <w:gridCol w:w="4090"/>
        <w:gridCol w:w="2488"/>
      </w:tblGrid>
      <w:tr w14:paraId="5F69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49" w:type="pct"/>
            <w:noWrap w:val="0"/>
            <w:vAlign w:val="center"/>
          </w:tcPr>
          <w:p w14:paraId="362FA58C">
            <w:pPr>
              <w:pStyle w:val="9"/>
              <w:ind w:firstLine="0" w:firstLineChars="0"/>
              <w:jc w:val="center"/>
              <w:rPr>
                <w:rFonts w:ascii="宋体" w:hAnsi="宋体" w:cs="宋体"/>
                <w:b/>
                <w:bCs/>
                <w:iCs/>
                <w:sz w:val="21"/>
                <w:szCs w:val="21"/>
              </w:rPr>
            </w:pPr>
            <w:r>
              <w:rPr>
                <w:rFonts w:hint="eastAsia" w:ascii="宋体" w:hAnsi="宋体" w:cs="宋体"/>
                <w:b/>
                <w:bCs/>
                <w:iCs/>
                <w:sz w:val="21"/>
                <w:szCs w:val="21"/>
              </w:rPr>
              <w:t>序号</w:t>
            </w:r>
          </w:p>
        </w:tc>
        <w:tc>
          <w:tcPr>
            <w:tcW w:w="1314" w:type="pct"/>
            <w:noWrap w:val="0"/>
            <w:vAlign w:val="center"/>
          </w:tcPr>
          <w:p w14:paraId="67D16BE9">
            <w:pPr>
              <w:pStyle w:val="9"/>
              <w:ind w:firstLine="0" w:firstLineChars="0"/>
              <w:jc w:val="center"/>
              <w:rPr>
                <w:rFonts w:ascii="宋体" w:hAnsi="宋体" w:cs="宋体"/>
                <w:b/>
                <w:bCs/>
                <w:iCs/>
                <w:sz w:val="21"/>
                <w:szCs w:val="21"/>
              </w:rPr>
            </w:pPr>
            <w:r>
              <w:rPr>
                <w:rFonts w:hint="eastAsia" w:ascii="宋体" w:hAnsi="宋体" w:cs="宋体"/>
                <w:b/>
                <w:bCs/>
                <w:iCs/>
                <w:sz w:val="21"/>
                <w:szCs w:val="21"/>
              </w:rPr>
              <w:t>名称</w:t>
            </w:r>
          </w:p>
        </w:tc>
        <w:tc>
          <w:tcPr>
            <w:tcW w:w="2073" w:type="pct"/>
            <w:noWrap w:val="0"/>
            <w:vAlign w:val="center"/>
          </w:tcPr>
          <w:p w14:paraId="21290055">
            <w:pPr>
              <w:pStyle w:val="9"/>
              <w:ind w:firstLine="0" w:firstLineChars="0"/>
              <w:jc w:val="center"/>
              <w:rPr>
                <w:rFonts w:ascii="宋体" w:hAnsi="宋体" w:cs="宋体"/>
                <w:b/>
                <w:bCs/>
                <w:iCs/>
                <w:sz w:val="21"/>
                <w:szCs w:val="21"/>
              </w:rPr>
            </w:pPr>
            <w:r>
              <w:rPr>
                <w:rFonts w:hint="eastAsia" w:ascii="宋体" w:hAnsi="宋体" w:cs="宋体"/>
                <w:b/>
                <w:bCs/>
                <w:iCs/>
                <w:sz w:val="21"/>
                <w:szCs w:val="21"/>
              </w:rPr>
              <w:t>基本配置要求</w:t>
            </w:r>
          </w:p>
        </w:tc>
        <w:tc>
          <w:tcPr>
            <w:tcW w:w="1261" w:type="pct"/>
            <w:noWrap w:val="0"/>
            <w:vAlign w:val="center"/>
          </w:tcPr>
          <w:p w14:paraId="330DA22F">
            <w:pPr>
              <w:pStyle w:val="9"/>
              <w:ind w:firstLine="0" w:firstLineChars="0"/>
              <w:jc w:val="center"/>
              <w:rPr>
                <w:rFonts w:ascii="宋体" w:hAnsi="宋体" w:cs="宋体"/>
                <w:b/>
                <w:bCs/>
                <w:iCs/>
                <w:sz w:val="21"/>
                <w:szCs w:val="21"/>
              </w:rPr>
            </w:pPr>
            <w:r>
              <w:rPr>
                <w:rFonts w:hint="eastAsia" w:ascii="宋体" w:hAnsi="宋体" w:cs="宋体"/>
                <w:b/>
                <w:bCs/>
                <w:iCs/>
                <w:sz w:val="21"/>
                <w:szCs w:val="21"/>
              </w:rPr>
              <w:t>功能说明</w:t>
            </w:r>
          </w:p>
        </w:tc>
      </w:tr>
      <w:tr w14:paraId="4180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49" w:type="pct"/>
            <w:noWrap w:val="0"/>
            <w:vAlign w:val="center"/>
          </w:tcPr>
          <w:p w14:paraId="642AD472">
            <w:pPr>
              <w:pStyle w:val="9"/>
              <w:ind w:firstLine="0" w:firstLineChars="0"/>
              <w:jc w:val="center"/>
              <w:rPr>
                <w:rFonts w:ascii="宋体" w:hAnsi="宋体" w:cs="宋体"/>
                <w:iCs/>
                <w:sz w:val="21"/>
                <w:szCs w:val="21"/>
              </w:rPr>
            </w:pPr>
            <w:r>
              <w:rPr>
                <w:rFonts w:hint="eastAsia" w:ascii="宋体" w:hAnsi="宋体" w:cs="宋体"/>
                <w:iCs/>
                <w:sz w:val="21"/>
                <w:szCs w:val="21"/>
              </w:rPr>
              <w:t>1</w:t>
            </w:r>
          </w:p>
        </w:tc>
        <w:tc>
          <w:tcPr>
            <w:tcW w:w="1314" w:type="pct"/>
            <w:noWrap w:val="0"/>
            <w:vAlign w:val="center"/>
          </w:tcPr>
          <w:p w14:paraId="02D16494">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多媒体专业教室</w:t>
            </w:r>
          </w:p>
        </w:tc>
        <w:tc>
          <w:tcPr>
            <w:tcW w:w="2073" w:type="pct"/>
            <w:noWrap w:val="0"/>
            <w:vAlign w:val="center"/>
          </w:tcPr>
          <w:p w14:paraId="05092B7F">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多媒体教学一体机</w:t>
            </w:r>
          </w:p>
        </w:tc>
        <w:tc>
          <w:tcPr>
            <w:tcW w:w="1261" w:type="pct"/>
            <w:noWrap w:val="0"/>
            <w:vAlign w:val="center"/>
          </w:tcPr>
          <w:p w14:paraId="4344330D">
            <w:pPr>
              <w:pStyle w:val="9"/>
              <w:ind w:firstLine="0" w:firstLineChars="0"/>
              <w:jc w:val="center"/>
              <w:rPr>
                <w:rFonts w:hint="default" w:ascii="宋体" w:hAnsi="宋体" w:eastAsia="宋体" w:cs="宋体"/>
                <w:iCs/>
                <w:sz w:val="21"/>
                <w:szCs w:val="21"/>
                <w:lang w:val="en-US" w:eastAsia="zh-CN"/>
              </w:rPr>
            </w:pPr>
            <w:r>
              <w:rPr>
                <w:rFonts w:hint="eastAsia" w:ascii="宋体" w:hAnsi="宋体" w:cs="宋体"/>
                <w:iCs/>
                <w:sz w:val="21"/>
                <w:szCs w:val="21"/>
                <w:lang w:val="en-US" w:eastAsia="zh-CN"/>
              </w:rPr>
              <w:t>通过播放课件、视频辅助教学</w:t>
            </w:r>
          </w:p>
        </w:tc>
      </w:tr>
      <w:tr w14:paraId="347E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349" w:type="pct"/>
            <w:noWrap w:val="0"/>
            <w:vAlign w:val="center"/>
          </w:tcPr>
          <w:p w14:paraId="6AA0D1B4">
            <w:pPr>
              <w:pStyle w:val="9"/>
              <w:ind w:firstLine="0" w:firstLineChars="0"/>
              <w:jc w:val="center"/>
              <w:rPr>
                <w:rFonts w:hint="eastAsia" w:ascii="宋体" w:hAnsi="宋体" w:eastAsia="宋体" w:cs="宋体"/>
                <w:iCs/>
                <w:sz w:val="21"/>
                <w:szCs w:val="21"/>
                <w:lang w:val="en-US" w:eastAsia="zh-CN"/>
              </w:rPr>
            </w:pPr>
            <w:r>
              <w:rPr>
                <w:rFonts w:hint="eastAsia" w:ascii="宋体" w:hAnsi="宋体" w:cs="宋体"/>
                <w:iCs/>
                <w:sz w:val="21"/>
                <w:szCs w:val="21"/>
                <w:lang w:val="en-US" w:eastAsia="zh-CN"/>
              </w:rPr>
              <w:t>2</w:t>
            </w:r>
          </w:p>
        </w:tc>
        <w:tc>
          <w:tcPr>
            <w:tcW w:w="1314" w:type="pct"/>
            <w:noWrap w:val="0"/>
            <w:vAlign w:val="center"/>
          </w:tcPr>
          <w:p w14:paraId="63176C74">
            <w:pPr>
              <w:jc w:val="center"/>
              <w:rPr>
                <w:rFonts w:hint="default" w:ascii="宋体" w:hAnsi="宋体" w:cs="宋体"/>
                <w:iCs/>
                <w:sz w:val="21"/>
                <w:szCs w:val="21"/>
                <w:lang w:val="en-US" w:eastAsia="zh-CN"/>
              </w:rPr>
            </w:pPr>
            <w:r>
              <w:rPr>
                <w:rFonts w:hint="eastAsia"/>
                <w:color w:val="auto"/>
                <w:highlight w:val="none"/>
                <w:lang w:val="en-US" w:eastAsia="zh-CN"/>
              </w:rPr>
              <w:t>校史馆</w:t>
            </w:r>
          </w:p>
        </w:tc>
        <w:tc>
          <w:tcPr>
            <w:tcW w:w="2073" w:type="pct"/>
            <w:noWrap w:val="0"/>
            <w:vAlign w:val="center"/>
          </w:tcPr>
          <w:p w14:paraId="153325A1">
            <w:pPr>
              <w:jc w:val="center"/>
              <w:rPr>
                <w:rFonts w:hint="default" w:ascii="宋体" w:hAnsi="宋体" w:cs="宋体"/>
                <w:iCs/>
                <w:sz w:val="21"/>
                <w:szCs w:val="21"/>
                <w:lang w:val="en-US" w:eastAsia="zh-CN"/>
              </w:rPr>
            </w:pPr>
            <w:r>
              <w:rPr>
                <w:rFonts w:hint="eastAsia"/>
                <w:color w:val="auto"/>
                <w:highlight w:val="none"/>
                <w:lang w:val="en-US" w:eastAsia="zh-CN"/>
              </w:rPr>
              <w:t>学校内涵文化展示、学校发展历程、优秀校友成就展以及相关展览品</w:t>
            </w:r>
            <w:r>
              <w:rPr>
                <w:rFonts w:hint="eastAsia"/>
                <w:color w:val="auto"/>
                <w:highlight w:val="none"/>
              </w:rPr>
              <w:t>。</w:t>
            </w:r>
          </w:p>
        </w:tc>
        <w:tc>
          <w:tcPr>
            <w:tcW w:w="1261" w:type="pct"/>
            <w:noWrap w:val="0"/>
            <w:vAlign w:val="center"/>
          </w:tcPr>
          <w:p w14:paraId="1E3EA885">
            <w:pPr>
              <w:pStyle w:val="9"/>
              <w:ind w:firstLine="0" w:firstLineChars="0"/>
              <w:jc w:val="center"/>
              <w:rPr>
                <w:rFonts w:hint="default" w:ascii="宋体" w:hAnsi="宋体" w:cs="宋体"/>
                <w:iCs/>
                <w:sz w:val="21"/>
                <w:szCs w:val="21"/>
                <w:lang w:val="en-US" w:eastAsia="zh-CN"/>
              </w:rPr>
            </w:pPr>
            <w:r>
              <w:rPr>
                <w:rFonts w:hint="eastAsia" w:ascii="宋体" w:hAnsi="宋体" w:cs="宋体"/>
                <w:iCs/>
                <w:sz w:val="21"/>
                <w:szCs w:val="21"/>
                <w:lang w:val="en-US" w:eastAsia="zh-CN"/>
              </w:rPr>
              <w:t>介绍学校</w:t>
            </w:r>
          </w:p>
        </w:tc>
      </w:tr>
    </w:tbl>
    <w:p w14:paraId="1BB174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D8C0F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（1）基本教学资源：</w:t>
      </w:r>
      <w:r>
        <w:rPr>
          <w:rFonts w:hint="eastAsia" w:ascii="宋体" w:hAnsi="宋体" w:eastAsia="宋体" w:cs="宋体"/>
          <w:color w:val="auto"/>
          <w:sz w:val="24"/>
          <w:szCs w:val="24"/>
          <w:highlight w:val="none"/>
          <w:lang w:val="en-US" w:eastAsia="zh-CN"/>
        </w:rPr>
        <w:t>畜牧兽医相关专业图书与期刊等图书资源；来自企业提供的企业安全生产与管理规范、养殖流程、生产案例等企业生产软资源；</w:t>
      </w:r>
    </w:p>
    <w:p w14:paraId="69F2C21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（2）数字教学资源：智慧职教、中国大学慕课、学习通、学习强国</w:t>
      </w:r>
    </w:p>
    <w:sectPr>
      <w:headerReference r:id="rId8" w:type="default"/>
      <w:footerReference r:id="rId9"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auto"/>
    <w:pitch w:val="default"/>
    <w:sig w:usb0="E10022FF" w:usb1="C000E47F" w:usb2="00000029" w:usb3="00000000" w:csb0="200001DF" w:csb1="2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74CB2">
    <w:pPr>
      <w:spacing w:line="169" w:lineRule="auto"/>
      <w:ind w:left="4442"/>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D08F0">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05D08F0">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6CEA5">
                          <w:pPr>
                            <w:pStyle w:val="1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B16CEA5">
                    <w:pPr>
                      <w:pStyle w:val="1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畜牧兽医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畜牧兽医</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畜牧兽医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畜牧兽医</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A2BA7"/>
    <w:multiLevelType w:val="singleLevel"/>
    <w:tmpl w:val="916A2BA7"/>
    <w:lvl w:ilvl="0" w:tentative="0">
      <w:start w:val="1"/>
      <w:numFmt w:val="decimal"/>
      <w:suff w:val="space"/>
      <w:lvlText w:val="%1."/>
      <w:lvlJc w:val="left"/>
    </w:lvl>
  </w:abstractNum>
  <w:abstractNum w:abstractNumId="1">
    <w:nsid w:val="A9077C80"/>
    <w:multiLevelType w:val="singleLevel"/>
    <w:tmpl w:val="A9077C80"/>
    <w:lvl w:ilvl="0" w:tentative="0">
      <w:start w:val="1"/>
      <w:numFmt w:val="decimal"/>
      <w:suff w:val="space"/>
      <w:lvlText w:val="%1."/>
      <w:lvlJc w:val="left"/>
    </w:lvl>
  </w:abstractNum>
  <w:abstractNum w:abstractNumId="2">
    <w:nsid w:val="B1EF1487"/>
    <w:multiLevelType w:val="singleLevel"/>
    <w:tmpl w:val="B1EF1487"/>
    <w:lvl w:ilvl="0" w:tentative="0">
      <w:start w:val="1"/>
      <w:numFmt w:val="decimal"/>
      <w:suff w:val="space"/>
      <w:lvlText w:val="%1."/>
      <w:lvlJc w:val="left"/>
      <w:pPr>
        <w:ind w:left="59" w:leftChars="0" w:firstLine="0" w:firstLineChars="0"/>
      </w:pPr>
    </w:lvl>
  </w:abstractNum>
  <w:abstractNum w:abstractNumId="3">
    <w:nsid w:val="BB777393"/>
    <w:multiLevelType w:val="singleLevel"/>
    <w:tmpl w:val="BB777393"/>
    <w:lvl w:ilvl="0" w:tentative="0">
      <w:start w:val="1"/>
      <w:numFmt w:val="decimal"/>
      <w:suff w:val="space"/>
      <w:lvlText w:val="%1."/>
      <w:lvlJc w:val="left"/>
    </w:lvl>
  </w:abstractNum>
  <w:abstractNum w:abstractNumId="4">
    <w:nsid w:val="BBFF37C8"/>
    <w:multiLevelType w:val="singleLevel"/>
    <w:tmpl w:val="BBFF37C8"/>
    <w:lvl w:ilvl="0" w:tentative="0">
      <w:start w:val="1"/>
      <w:numFmt w:val="decimal"/>
      <w:suff w:val="nothing"/>
      <w:lvlText w:val="%1．"/>
      <w:lvlJc w:val="left"/>
      <w:pPr>
        <w:ind w:left="-480" w:firstLine="400"/>
      </w:pPr>
      <w:rPr>
        <w:rFonts w:hint="default"/>
      </w:rPr>
    </w:lvl>
  </w:abstractNum>
  <w:abstractNum w:abstractNumId="5">
    <w:nsid w:val="BEFCF52C"/>
    <w:multiLevelType w:val="singleLevel"/>
    <w:tmpl w:val="BEFCF52C"/>
    <w:lvl w:ilvl="0" w:tentative="0">
      <w:start w:val="1"/>
      <w:numFmt w:val="decimal"/>
      <w:suff w:val="nothing"/>
      <w:lvlText w:val="%1．"/>
      <w:lvlJc w:val="left"/>
      <w:pPr>
        <w:ind w:left="0" w:firstLine="400"/>
      </w:pPr>
      <w:rPr>
        <w:rFonts w:hint="default"/>
      </w:rPr>
    </w:lvl>
  </w:abstractNum>
  <w:abstractNum w:abstractNumId="6">
    <w:nsid w:val="BF7ED074"/>
    <w:multiLevelType w:val="singleLevel"/>
    <w:tmpl w:val="BF7ED074"/>
    <w:lvl w:ilvl="0" w:tentative="0">
      <w:start w:val="1"/>
      <w:numFmt w:val="decimal"/>
      <w:suff w:val="nothing"/>
      <w:lvlText w:val="%1．"/>
      <w:lvlJc w:val="left"/>
      <w:pPr>
        <w:ind w:left="0" w:firstLine="400"/>
      </w:pPr>
      <w:rPr>
        <w:rFonts w:hint="default"/>
      </w:rPr>
    </w:lvl>
  </w:abstractNum>
  <w:abstractNum w:abstractNumId="7">
    <w:nsid w:val="CF1CE1B7"/>
    <w:multiLevelType w:val="singleLevel"/>
    <w:tmpl w:val="CF1CE1B7"/>
    <w:lvl w:ilvl="0" w:tentative="0">
      <w:start w:val="1"/>
      <w:numFmt w:val="decimal"/>
      <w:lvlText w:val="%1."/>
      <w:lvlJc w:val="left"/>
      <w:pPr>
        <w:tabs>
          <w:tab w:val="left" w:pos="312"/>
        </w:tabs>
      </w:pPr>
    </w:lvl>
  </w:abstractNum>
  <w:abstractNum w:abstractNumId="8">
    <w:nsid w:val="CFF6F92A"/>
    <w:multiLevelType w:val="singleLevel"/>
    <w:tmpl w:val="CFF6F92A"/>
    <w:lvl w:ilvl="0" w:tentative="0">
      <w:start w:val="1"/>
      <w:numFmt w:val="decimal"/>
      <w:suff w:val="space"/>
      <w:lvlText w:val="%1."/>
      <w:lvlJc w:val="left"/>
    </w:lvl>
  </w:abstractNum>
  <w:abstractNum w:abstractNumId="9">
    <w:nsid w:val="DCED53CA"/>
    <w:multiLevelType w:val="singleLevel"/>
    <w:tmpl w:val="DCED53CA"/>
    <w:lvl w:ilvl="0" w:tentative="0">
      <w:start w:val="1"/>
      <w:numFmt w:val="decimal"/>
      <w:suff w:val="space"/>
      <w:lvlText w:val="%1."/>
      <w:lvlJc w:val="left"/>
    </w:lvl>
  </w:abstractNum>
  <w:abstractNum w:abstractNumId="10">
    <w:nsid w:val="DE146A38"/>
    <w:multiLevelType w:val="singleLevel"/>
    <w:tmpl w:val="DE146A38"/>
    <w:lvl w:ilvl="0" w:tentative="0">
      <w:start w:val="1"/>
      <w:numFmt w:val="decimal"/>
      <w:suff w:val="space"/>
      <w:lvlText w:val="%1."/>
      <w:lvlJc w:val="left"/>
    </w:lvl>
  </w:abstractNum>
  <w:abstractNum w:abstractNumId="11">
    <w:nsid w:val="E1393B14"/>
    <w:multiLevelType w:val="singleLevel"/>
    <w:tmpl w:val="E1393B14"/>
    <w:lvl w:ilvl="0" w:tentative="0">
      <w:start w:val="1"/>
      <w:numFmt w:val="decimal"/>
      <w:suff w:val="space"/>
      <w:lvlText w:val="%1."/>
      <w:lvlJc w:val="left"/>
    </w:lvl>
  </w:abstractNum>
  <w:abstractNum w:abstractNumId="12">
    <w:nsid w:val="EEAC291E"/>
    <w:multiLevelType w:val="singleLevel"/>
    <w:tmpl w:val="EEAC291E"/>
    <w:lvl w:ilvl="0" w:tentative="0">
      <w:start w:val="2"/>
      <w:numFmt w:val="decimal"/>
      <w:suff w:val="nothing"/>
      <w:lvlText w:val="（%1）"/>
      <w:lvlJc w:val="left"/>
    </w:lvl>
  </w:abstractNum>
  <w:abstractNum w:abstractNumId="13">
    <w:nsid w:val="EFEC8E9E"/>
    <w:multiLevelType w:val="singleLevel"/>
    <w:tmpl w:val="EFEC8E9E"/>
    <w:lvl w:ilvl="0" w:tentative="0">
      <w:start w:val="1"/>
      <w:numFmt w:val="decimal"/>
      <w:suff w:val="nothing"/>
      <w:lvlText w:val="%1．"/>
      <w:lvlJc w:val="left"/>
      <w:pPr>
        <w:ind w:left="0" w:firstLine="400"/>
      </w:pPr>
      <w:rPr>
        <w:rFonts w:hint="default"/>
      </w:rPr>
    </w:lvl>
  </w:abstractNum>
  <w:abstractNum w:abstractNumId="14">
    <w:nsid w:val="F2E7447D"/>
    <w:multiLevelType w:val="singleLevel"/>
    <w:tmpl w:val="F2E7447D"/>
    <w:lvl w:ilvl="0" w:tentative="0">
      <w:start w:val="1"/>
      <w:numFmt w:val="decimal"/>
      <w:suff w:val="space"/>
      <w:lvlText w:val="%1."/>
      <w:lvlJc w:val="left"/>
    </w:lvl>
  </w:abstractNum>
  <w:abstractNum w:abstractNumId="15">
    <w:nsid w:val="F79E4866"/>
    <w:multiLevelType w:val="singleLevel"/>
    <w:tmpl w:val="F79E4866"/>
    <w:lvl w:ilvl="0" w:tentative="0">
      <w:start w:val="1"/>
      <w:numFmt w:val="decimal"/>
      <w:suff w:val="space"/>
      <w:lvlText w:val="%1."/>
      <w:lvlJc w:val="left"/>
    </w:lvl>
  </w:abstractNum>
  <w:abstractNum w:abstractNumId="16">
    <w:nsid w:val="FCDFAB94"/>
    <w:multiLevelType w:val="singleLevel"/>
    <w:tmpl w:val="FCDFAB94"/>
    <w:lvl w:ilvl="0" w:tentative="0">
      <w:start w:val="1"/>
      <w:numFmt w:val="decimal"/>
      <w:suff w:val="space"/>
      <w:lvlText w:val="%1."/>
      <w:lvlJc w:val="left"/>
      <w:pPr>
        <w:ind w:left="117" w:leftChars="0" w:firstLine="0" w:firstLineChars="0"/>
      </w:pPr>
    </w:lvl>
  </w:abstractNum>
  <w:abstractNum w:abstractNumId="17">
    <w:nsid w:val="FF4EFECD"/>
    <w:multiLevelType w:val="singleLevel"/>
    <w:tmpl w:val="FF4EFECD"/>
    <w:lvl w:ilvl="0" w:tentative="0">
      <w:start w:val="1"/>
      <w:numFmt w:val="decimal"/>
      <w:suff w:val="space"/>
      <w:lvlText w:val="%1."/>
      <w:lvlJc w:val="left"/>
    </w:lvl>
  </w:abstractNum>
  <w:abstractNum w:abstractNumId="18">
    <w:nsid w:val="093B8640"/>
    <w:multiLevelType w:val="singleLevel"/>
    <w:tmpl w:val="093B8640"/>
    <w:lvl w:ilvl="0" w:tentative="0">
      <w:start w:val="9"/>
      <w:numFmt w:val="decimal"/>
      <w:suff w:val="space"/>
      <w:lvlText w:val="%1."/>
      <w:lvlJc w:val="left"/>
    </w:lvl>
  </w:abstractNum>
  <w:abstractNum w:abstractNumId="19">
    <w:nsid w:val="09C63D95"/>
    <w:multiLevelType w:val="singleLevel"/>
    <w:tmpl w:val="09C63D95"/>
    <w:lvl w:ilvl="0" w:tentative="0">
      <w:start w:val="1"/>
      <w:numFmt w:val="decimal"/>
      <w:lvlText w:val="%1."/>
      <w:lvlJc w:val="left"/>
      <w:pPr>
        <w:tabs>
          <w:tab w:val="left" w:pos="312"/>
        </w:tabs>
      </w:pPr>
    </w:lvl>
  </w:abstractNum>
  <w:abstractNum w:abstractNumId="20">
    <w:nsid w:val="194F02E1"/>
    <w:multiLevelType w:val="singleLevel"/>
    <w:tmpl w:val="194F02E1"/>
    <w:lvl w:ilvl="0" w:tentative="0">
      <w:start w:val="2"/>
      <w:numFmt w:val="decimal"/>
      <w:suff w:val="nothing"/>
      <w:lvlText w:val="（%1）"/>
      <w:lvlJc w:val="left"/>
    </w:lvl>
  </w:abstractNum>
  <w:abstractNum w:abstractNumId="21">
    <w:nsid w:val="1A9433F3"/>
    <w:multiLevelType w:val="singleLevel"/>
    <w:tmpl w:val="1A9433F3"/>
    <w:lvl w:ilvl="0" w:tentative="0">
      <w:start w:val="1"/>
      <w:numFmt w:val="decimal"/>
      <w:suff w:val="space"/>
      <w:lvlText w:val="%1."/>
      <w:lvlJc w:val="left"/>
    </w:lvl>
  </w:abstractNum>
  <w:abstractNum w:abstractNumId="22">
    <w:nsid w:val="1DF2BF74"/>
    <w:multiLevelType w:val="singleLevel"/>
    <w:tmpl w:val="1DF2BF74"/>
    <w:lvl w:ilvl="0" w:tentative="0">
      <w:start w:val="1"/>
      <w:numFmt w:val="decimal"/>
      <w:suff w:val="space"/>
      <w:lvlText w:val="%1."/>
      <w:lvlJc w:val="left"/>
    </w:lvl>
  </w:abstractNum>
  <w:abstractNum w:abstractNumId="23">
    <w:nsid w:val="3C0344AC"/>
    <w:multiLevelType w:val="singleLevel"/>
    <w:tmpl w:val="3C0344AC"/>
    <w:lvl w:ilvl="0" w:tentative="0">
      <w:start w:val="2"/>
      <w:numFmt w:val="decimal"/>
      <w:suff w:val="space"/>
      <w:lvlText w:val="%1."/>
      <w:lvlJc w:val="left"/>
    </w:lvl>
  </w:abstractNum>
  <w:abstractNum w:abstractNumId="24">
    <w:nsid w:val="3D5D63D2"/>
    <w:multiLevelType w:val="singleLevel"/>
    <w:tmpl w:val="3D5D63D2"/>
    <w:lvl w:ilvl="0" w:tentative="0">
      <w:start w:val="1"/>
      <w:numFmt w:val="decimal"/>
      <w:lvlText w:val="%1."/>
      <w:lvlJc w:val="left"/>
      <w:pPr>
        <w:tabs>
          <w:tab w:val="left" w:pos="312"/>
        </w:tabs>
      </w:pPr>
    </w:lvl>
  </w:abstractNum>
  <w:abstractNum w:abstractNumId="25">
    <w:nsid w:val="47EEA100"/>
    <w:multiLevelType w:val="singleLevel"/>
    <w:tmpl w:val="47EEA100"/>
    <w:lvl w:ilvl="0" w:tentative="0">
      <w:start w:val="1"/>
      <w:numFmt w:val="decimal"/>
      <w:lvlText w:val="(%1)"/>
      <w:lvlJc w:val="left"/>
      <w:pPr>
        <w:tabs>
          <w:tab w:val="left" w:pos="420"/>
        </w:tabs>
        <w:ind w:left="845" w:hanging="425"/>
      </w:pPr>
      <w:rPr>
        <w:rFonts w:hint="default"/>
      </w:rPr>
    </w:lvl>
  </w:abstractNum>
  <w:abstractNum w:abstractNumId="26">
    <w:nsid w:val="613E9C45"/>
    <w:multiLevelType w:val="singleLevel"/>
    <w:tmpl w:val="613E9C45"/>
    <w:lvl w:ilvl="0" w:tentative="0">
      <w:start w:val="2"/>
      <w:numFmt w:val="decimal"/>
      <w:suff w:val="nothing"/>
      <w:lvlText w:val="（%1）"/>
      <w:lvlJc w:val="left"/>
    </w:lvl>
  </w:abstractNum>
  <w:abstractNum w:abstractNumId="27">
    <w:nsid w:val="66ED623E"/>
    <w:multiLevelType w:val="singleLevel"/>
    <w:tmpl w:val="66ED623E"/>
    <w:lvl w:ilvl="0" w:tentative="0">
      <w:start w:val="1"/>
      <w:numFmt w:val="decimal"/>
      <w:suff w:val="nothing"/>
      <w:lvlText w:val="%1．"/>
      <w:lvlJc w:val="left"/>
      <w:pPr>
        <w:ind w:left="0" w:firstLine="400"/>
      </w:pPr>
      <w:rPr>
        <w:rFonts w:hint="default"/>
      </w:rPr>
    </w:lvl>
  </w:abstractNum>
  <w:abstractNum w:abstractNumId="28">
    <w:nsid w:val="6770B2E9"/>
    <w:multiLevelType w:val="singleLevel"/>
    <w:tmpl w:val="6770B2E9"/>
    <w:lvl w:ilvl="0" w:tentative="0">
      <w:start w:val="1"/>
      <w:numFmt w:val="decimal"/>
      <w:suff w:val="space"/>
      <w:lvlText w:val="%1."/>
      <w:lvlJc w:val="left"/>
    </w:lvl>
  </w:abstractNum>
  <w:abstractNum w:abstractNumId="29">
    <w:nsid w:val="692B86E1"/>
    <w:multiLevelType w:val="singleLevel"/>
    <w:tmpl w:val="692B86E1"/>
    <w:lvl w:ilvl="0" w:tentative="0">
      <w:start w:val="1"/>
      <w:numFmt w:val="decimal"/>
      <w:lvlText w:val="%1."/>
      <w:lvlJc w:val="left"/>
      <w:pPr>
        <w:tabs>
          <w:tab w:val="left" w:pos="425"/>
        </w:tabs>
        <w:ind w:left="425" w:leftChars="0" w:hanging="425" w:firstLineChars="0"/>
      </w:pPr>
      <w:rPr>
        <w:rFonts w:hint="default"/>
      </w:rPr>
    </w:lvl>
  </w:abstractNum>
  <w:abstractNum w:abstractNumId="30">
    <w:nsid w:val="692B8C85"/>
    <w:multiLevelType w:val="singleLevel"/>
    <w:tmpl w:val="692B8C85"/>
    <w:lvl w:ilvl="0" w:tentative="0">
      <w:start w:val="1"/>
      <w:numFmt w:val="decimal"/>
      <w:suff w:val="nothing"/>
      <w:lvlText w:val="%1."/>
      <w:lvlJc w:val="left"/>
    </w:lvl>
  </w:abstractNum>
  <w:abstractNum w:abstractNumId="31">
    <w:nsid w:val="692B8D21"/>
    <w:multiLevelType w:val="singleLevel"/>
    <w:tmpl w:val="692B8D21"/>
    <w:lvl w:ilvl="0" w:tentative="0">
      <w:start w:val="1"/>
      <w:numFmt w:val="decimal"/>
      <w:suff w:val="nothing"/>
      <w:lvlText w:val="%1."/>
      <w:lvlJc w:val="left"/>
    </w:lvl>
  </w:abstractNum>
  <w:abstractNum w:abstractNumId="32">
    <w:nsid w:val="692B8D76"/>
    <w:multiLevelType w:val="singleLevel"/>
    <w:tmpl w:val="692B8D76"/>
    <w:lvl w:ilvl="0" w:tentative="0">
      <w:start w:val="1"/>
      <w:numFmt w:val="decimal"/>
      <w:suff w:val="nothing"/>
      <w:lvlText w:val="%1."/>
      <w:lvlJc w:val="left"/>
    </w:lvl>
  </w:abstractNum>
  <w:abstractNum w:abstractNumId="33">
    <w:nsid w:val="692B8EDD"/>
    <w:multiLevelType w:val="singleLevel"/>
    <w:tmpl w:val="692B8EDD"/>
    <w:lvl w:ilvl="0" w:tentative="0">
      <w:start w:val="1"/>
      <w:numFmt w:val="decimal"/>
      <w:suff w:val="nothing"/>
      <w:lvlText w:val="%1."/>
      <w:lvlJc w:val="left"/>
    </w:lvl>
  </w:abstractNum>
  <w:abstractNum w:abstractNumId="34">
    <w:nsid w:val="692B8FC9"/>
    <w:multiLevelType w:val="singleLevel"/>
    <w:tmpl w:val="692B8FC9"/>
    <w:lvl w:ilvl="0" w:tentative="0">
      <w:start w:val="1"/>
      <w:numFmt w:val="decimal"/>
      <w:suff w:val="nothing"/>
      <w:lvlText w:val="%1."/>
      <w:lvlJc w:val="left"/>
    </w:lvl>
  </w:abstractNum>
  <w:abstractNum w:abstractNumId="35">
    <w:nsid w:val="692B9321"/>
    <w:multiLevelType w:val="singleLevel"/>
    <w:tmpl w:val="692B9321"/>
    <w:lvl w:ilvl="0" w:tentative="0">
      <w:start w:val="1"/>
      <w:numFmt w:val="decimal"/>
      <w:suff w:val="nothing"/>
      <w:lvlText w:val="%1."/>
      <w:lvlJc w:val="left"/>
    </w:lvl>
  </w:abstractNum>
  <w:abstractNum w:abstractNumId="36">
    <w:nsid w:val="692B9434"/>
    <w:multiLevelType w:val="singleLevel"/>
    <w:tmpl w:val="692B9434"/>
    <w:lvl w:ilvl="0" w:tentative="0">
      <w:start w:val="1"/>
      <w:numFmt w:val="decimal"/>
      <w:suff w:val="nothing"/>
      <w:lvlText w:val="%1."/>
      <w:lvlJc w:val="left"/>
    </w:lvl>
  </w:abstractNum>
  <w:abstractNum w:abstractNumId="37">
    <w:nsid w:val="692B947F"/>
    <w:multiLevelType w:val="singleLevel"/>
    <w:tmpl w:val="692B947F"/>
    <w:lvl w:ilvl="0" w:tentative="0">
      <w:start w:val="1"/>
      <w:numFmt w:val="decimal"/>
      <w:suff w:val="nothing"/>
      <w:lvlText w:val="%1."/>
      <w:lvlJc w:val="left"/>
    </w:lvl>
  </w:abstractNum>
  <w:abstractNum w:abstractNumId="38">
    <w:nsid w:val="692B94EC"/>
    <w:multiLevelType w:val="singleLevel"/>
    <w:tmpl w:val="692B94EC"/>
    <w:lvl w:ilvl="0" w:tentative="0">
      <w:start w:val="1"/>
      <w:numFmt w:val="decimal"/>
      <w:suff w:val="nothing"/>
      <w:lvlText w:val="%1."/>
      <w:lvlJc w:val="left"/>
    </w:lvl>
  </w:abstractNum>
  <w:abstractNum w:abstractNumId="39">
    <w:nsid w:val="692B959F"/>
    <w:multiLevelType w:val="singleLevel"/>
    <w:tmpl w:val="692B959F"/>
    <w:lvl w:ilvl="0" w:tentative="0">
      <w:start w:val="1"/>
      <w:numFmt w:val="decimal"/>
      <w:suff w:val="nothing"/>
      <w:lvlText w:val="%1."/>
      <w:lvlJc w:val="left"/>
    </w:lvl>
  </w:abstractNum>
  <w:abstractNum w:abstractNumId="40">
    <w:nsid w:val="692B9651"/>
    <w:multiLevelType w:val="singleLevel"/>
    <w:tmpl w:val="692B9651"/>
    <w:lvl w:ilvl="0" w:tentative="0">
      <w:start w:val="1"/>
      <w:numFmt w:val="decimal"/>
      <w:suff w:val="nothing"/>
      <w:lvlText w:val="%1."/>
      <w:lvlJc w:val="left"/>
    </w:lvl>
  </w:abstractNum>
  <w:abstractNum w:abstractNumId="41">
    <w:nsid w:val="692B96EC"/>
    <w:multiLevelType w:val="singleLevel"/>
    <w:tmpl w:val="692B96EC"/>
    <w:lvl w:ilvl="0" w:tentative="0">
      <w:start w:val="1"/>
      <w:numFmt w:val="decimal"/>
      <w:suff w:val="nothing"/>
      <w:lvlText w:val="%1."/>
      <w:lvlJc w:val="left"/>
    </w:lvl>
  </w:abstractNum>
  <w:abstractNum w:abstractNumId="42">
    <w:nsid w:val="6965A688"/>
    <w:multiLevelType w:val="singleLevel"/>
    <w:tmpl w:val="6965A688"/>
    <w:lvl w:ilvl="0" w:tentative="0">
      <w:start w:val="2"/>
      <w:numFmt w:val="chineseCounting"/>
      <w:suff w:val="nothing"/>
      <w:lvlText w:val="（%1）"/>
      <w:lvlJc w:val="left"/>
    </w:lvl>
  </w:abstractNum>
  <w:abstractNum w:abstractNumId="43">
    <w:nsid w:val="6965B1EE"/>
    <w:multiLevelType w:val="singleLevel"/>
    <w:tmpl w:val="6965B1EE"/>
    <w:lvl w:ilvl="0" w:tentative="0">
      <w:start w:val="1"/>
      <w:numFmt w:val="decimal"/>
      <w:suff w:val="nothing"/>
      <w:lvlText w:val="%1."/>
      <w:lvlJc w:val="left"/>
    </w:lvl>
  </w:abstractNum>
  <w:abstractNum w:abstractNumId="44">
    <w:nsid w:val="6965B2D5"/>
    <w:multiLevelType w:val="singleLevel"/>
    <w:tmpl w:val="6965B2D5"/>
    <w:lvl w:ilvl="0" w:tentative="0">
      <w:start w:val="1"/>
      <w:numFmt w:val="decimal"/>
      <w:suff w:val="nothing"/>
      <w:lvlText w:val="%1."/>
      <w:lvlJc w:val="left"/>
    </w:lvl>
  </w:abstractNum>
  <w:abstractNum w:abstractNumId="45">
    <w:nsid w:val="6965B3F1"/>
    <w:multiLevelType w:val="singleLevel"/>
    <w:tmpl w:val="6965B3F1"/>
    <w:lvl w:ilvl="0" w:tentative="0">
      <w:start w:val="1"/>
      <w:numFmt w:val="decimal"/>
      <w:lvlText w:val="%1."/>
      <w:lvlJc w:val="left"/>
      <w:pPr>
        <w:tabs>
          <w:tab w:val="left" w:pos="425"/>
        </w:tabs>
        <w:ind w:left="425" w:leftChars="0" w:hanging="425" w:firstLineChars="0"/>
      </w:pPr>
      <w:rPr>
        <w:rFonts w:hint="default"/>
      </w:rPr>
    </w:lvl>
  </w:abstractNum>
  <w:abstractNum w:abstractNumId="46">
    <w:nsid w:val="696A1AA2"/>
    <w:multiLevelType w:val="singleLevel"/>
    <w:tmpl w:val="696A1AA2"/>
    <w:lvl w:ilvl="0" w:tentative="0">
      <w:start w:val="1"/>
      <w:numFmt w:val="decimal"/>
      <w:suff w:val="nothing"/>
      <w:lvlText w:val="%1."/>
      <w:lvlJc w:val="left"/>
    </w:lvl>
  </w:abstractNum>
  <w:abstractNum w:abstractNumId="47">
    <w:nsid w:val="78EFFEE9"/>
    <w:multiLevelType w:val="singleLevel"/>
    <w:tmpl w:val="78EFFEE9"/>
    <w:lvl w:ilvl="0" w:tentative="0">
      <w:start w:val="1"/>
      <w:numFmt w:val="decimalEnclosedCircleChinese"/>
      <w:suff w:val="nothing"/>
      <w:lvlText w:val="%1　"/>
      <w:lvlJc w:val="left"/>
      <w:pPr>
        <w:ind w:left="0" w:firstLine="400"/>
      </w:pPr>
      <w:rPr>
        <w:rFonts w:hint="eastAsia"/>
      </w:rPr>
    </w:lvl>
  </w:abstractNum>
  <w:abstractNum w:abstractNumId="48">
    <w:nsid w:val="7B3EAA8D"/>
    <w:multiLevelType w:val="singleLevel"/>
    <w:tmpl w:val="7B3EAA8D"/>
    <w:lvl w:ilvl="0" w:tentative="0">
      <w:start w:val="6"/>
      <w:numFmt w:val="chineseCounting"/>
      <w:suff w:val="nothing"/>
      <w:lvlText w:val="%1、"/>
      <w:lvlJc w:val="left"/>
      <w:pPr>
        <w:ind w:left="420"/>
      </w:pPr>
      <w:rPr>
        <w:rFonts w:hint="eastAsia"/>
      </w:rPr>
    </w:lvl>
  </w:abstractNum>
  <w:abstractNum w:abstractNumId="49">
    <w:nsid w:val="7CF85BA5"/>
    <w:multiLevelType w:val="singleLevel"/>
    <w:tmpl w:val="7CF85BA5"/>
    <w:lvl w:ilvl="0" w:tentative="0">
      <w:start w:val="1"/>
      <w:numFmt w:val="decimal"/>
      <w:lvlText w:val="(%1)"/>
      <w:lvlJc w:val="left"/>
      <w:pPr>
        <w:tabs>
          <w:tab w:val="left" w:pos="420"/>
        </w:tabs>
        <w:ind w:left="845" w:hanging="425"/>
      </w:pPr>
      <w:rPr>
        <w:rFonts w:hint="default"/>
      </w:rPr>
    </w:lvl>
  </w:abstractNum>
  <w:abstractNum w:abstractNumId="50">
    <w:nsid w:val="7EAF2265"/>
    <w:multiLevelType w:val="multilevel"/>
    <w:tmpl w:val="7EAF226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8"/>
  </w:num>
  <w:num w:numId="2">
    <w:abstractNumId w:val="48"/>
  </w:num>
  <w:num w:numId="3">
    <w:abstractNumId w:val="47"/>
  </w:num>
  <w:num w:numId="4">
    <w:abstractNumId w:val="26"/>
  </w:num>
  <w:num w:numId="5">
    <w:abstractNumId w:val="1"/>
  </w:num>
  <w:num w:numId="6">
    <w:abstractNumId w:val="11"/>
  </w:num>
  <w:num w:numId="7">
    <w:abstractNumId w:val="8"/>
  </w:num>
  <w:num w:numId="8">
    <w:abstractNumId w:val="10"/>
  </w:num>
  <w:num w:numId="9">
    <w:abstractNumId w:val="17"/>
  </w:num>
  <w:num w:numId="10">
    <w:abstractNumId w:val="22"/>
  </w:num>
  <w:num w:numId="11">
    <w:abstractNumId w:val="14"/>
  </w:num>
  <w:num w:numId="12">
    <w:abstractNumId w:val="0"/>
  </w:num>
  <w:num w:numId="13">
    <w:abstractNumId w:val="15"/>
  </w:num>
  <w:num w:numId="14">
    <w:abstractNumId w:val="19"/>
  </w:num>
  <w:num w:numId="15">
    <w:abstractNumId w:val="28"/>
  </w:num>
  <w:num w:numId="16">
    <w:abstractNumId w:val="21"/>
  </w:num>
  <w:num w:numId="17">
    <w:abstractNumId w:val="7"/>
  </w:num>
  <w:num w:numId="18">
    <w:abstractNumId w:val="32"/>
  </w:num>
  <w:num w:numId="19">
    <w:abstractNumId w:val="29"/>
  </w:num>
  <w:num w:numId="20">
    <w:abstractNumId w:val="30"/>
  </w:num>
  <w:num w:numId="21">
    <w:abstractNumId w:val="31"/>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24"/>
  </w:num>
  <w:num w:numId="36">
    <w:abstractNumId w:val="27"/>
  </w:num>
  <w:num w:numId="37">
    <w:abstractNumId w:val="6"/>
  </w:num>
  <w:num w:numId="38">
    <w:abstractNumId w:val="5"/>
  </w:num>
  <w:num w:numId="39">
    <w:abstractNumId w:val="20"/>
  </w:num>
  <w:num w:numId="40">
    <w:abstractNumId w:val="23"/>
  </w:num>
  <w:num w:numId="41">
    <w:abstractNumId w:val="46"/>
  </w:num>
  <w:num w:numId="42">
    <w:abstractNumId w:val="13"/>
  </w:num>
  <w:num w:numId="43">
    <w:abstractNumId w:val="50"/>
  </w:num>
  <w:num w:numId="44">
    <w:abstractNumId w:val="3"/>
  </w:num>
  <w:num w:numId="45">
    <w:abstractNumId w:val="9"/>
  </w:num>
  <w:num w:numId="46">
    <w:abstractNumId w:val="4"/>
  </w:num>
  <w:num w:numId="47">
    <w:abstractNumId w:val="16"/>
  </w:num>
  <w:num w:numId="48">
    <w:abstractNumId w:val="2"/>
  </w:num>
  <w:num w:numId="49">
    <w:abstractNumId w:val="25"/>
  </w:num>
  <w:num w:numId="50">
    <w:abstractNumId w:val="49"/>
  </w:num>
  <w:num w:numId="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14A50071"/>
    <w:rsid w:val="14A90DD4"/>
    <w:rsid w:val="167809A4"/>
    <w:rsid w:val="17A4196E"/>
    <w:rsid w:val="19425852"/>
    <w:rsid w:val="1A046471"/>
    <w:rsid w:val="1F08399C"/>
    <w:rsid w:val="222B6276"/>
    <w:rsid w:val="25523964"/>
    <w:rsid w:val="27381FC9"/>
    <w:rsid w:val="28E60D8A"/>
    <w:rsid w:val="2A1D40DA"/>
    <w:rsid w:val="2AA0257D"/>
    <w:rsid w:val="2AE851BC"/>
    <w:rsid w:val="2B1B29F1"/>
    <w:rsid w:val="2D5730C3"/>
    <w:rsid w:val="2D775526"/>
    <w:rsid w:val="2F1810E4"/>
    <w:rsid w:val="33464BA4"/>
    <w:rsid w:val="3842611F"/>
    <w:rsid w:val="3E3068E8"/>
    <w:rsid w:val="3F7F2121"/>
    <w:rsid w:val="403A565E"/>
    <w:rsid w:val="40683442"/>
    <w:rsid w:val="430E5144"/>
    <w:rsid w:val="43EF3474"/>
    <w:rsid w:val="46620A18"/>
    <w:rsid w:val="4A380042"/>
    <w:rsid w:val="4E423B39"/>
    <w:rsid w:val="4E626EA0"/>
    <w:rsid w:val="556E68A4"/>
    <w:rsid w:val="57C16F3C"/>
    <w:rsid w:val="58DC083B"/>
    <w:rsid w:val="5AF3372B"/>
    <w:rsid w:val="5B6368D7"/>
    <w:rsid w:val="5FEB2729"/>
    <w:rsid w:val="63834DA2"/>
    <w:rsid w:val="658D007F"/>
    <w:rsid w:val="6D7E5FE0"/>
    <w:rsid w:val="71992A52"/>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173</Pages>
  <Words>3101</Words>
  <Characters>3197</Characters>
  <Lines>1034</Lines>
  <Paragraphs>291</Paragraphs>
  <TotalTime>6</TotalTime>
  <ScaleCrop>false</ScaleCrop>
  <LinksUpToDate>false</LinksUpToDate>
  <CharactersWithSpaces>3233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2026-04-18T07:13:47Z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750AFD1F01344B4595FC542B4737E631_13</vt:lpwstr>
  </property>
  <property fmtid="{D5CDD505-2E9C-101B-9397-08002B2CF9AE}" pid="4" name="KSOTemplateDocerSaveRecord">
    <vt:lpwstr>eyJoZGlkIjoiMjJjMWQwNzAwYmUyZjZkZWNlOTVlOTQzOTM4OTdkZjQiLCJ1c2VySWQiOiI2OTE5MTk5OTMifQ==</vt:lpwstr>
  </property>
</Properties>
</file>