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B3DD2" w:rsidRPr="00CB3DD2" w:rsidRDefault="00CB3DD2" w:rsidP="00CB3DD2">
      <w:pPr>
        <w:widowControl/>
        <w:spacing w:line="840" w:lineRule="atLeast"/>
        <w:jc w:val="center"/>
        <w:outlineLvl w:val="0"/>
        <w:rPr>
          <w:rFonts w:ascii="微软雅黑" w:eastAsia="微软雅黑" w:hAnsi="微软雅黑" w:cs="宋体"/>
          <w:color w:val="000000"/>
          <w:kern w:val="36"/>
          <w:sz w:val="33"/>
          <w:szCs w:val="33"/>
        </w:rPr>
      </w:pPr>
      <w:r w:rsidRPr="00CB3DD2">
        <w:rPr>
          <w:rFonts w:ascii="微软雅黑" w:eastAsia="微软雅黑" w:hAnsi="微软雅黑" w:cs="宋体" w:hint="eastAsia"/>
          <w:color w:val="000000"/>
          <w:kern w:val="36"/>
          <w:sz w:val="33"/>
          <w:szCs w:val="33"/>
        </w:rPr>
        <w:t>高等学校预防与处理学术不端行为办法（全文）</w:t>
      </w:r>
    </w:p>
    <w:p w:rsidR="00CB3DD2" w:rsidRDefault="00CB3DD2" w:rsidP="00CB3DD2">
      <w:pPr>
        <w:pStyle w:val="a3"/>
        <w:spacing w:before="0" w:beforeAutospacing="0" w:after="225" w:afterAutospacing="0" w:line="360" w:lineRule="atLeast"/>
        <w:ind w:left="45" w:right="45" w:firstLine="450"/>
        <w:jc w:val="center"/>
        <w:rPr>
          <w:color w:val="666666"/>
          <w:sz w:val="21"/>
          <w:szCs w:val="21"/>
        </w:rPr>
      </w:pPr>
      <w:r>
        <w:rPr>
          <w:rFonts w:hint="eastAsia"/>
          <w:color w:val="666666"/>
          <w:sz w:val="21"/>
          <w:szCs w:val="21"/>
        </w:rPr>
        <w:t>中华人民共和国教育部令</w:t>
      </w:r>
    </w:p>
    <w:p w:rsidR="00CB3DD2" w:rsidRDefault="00CB3DD2" w:rsidP="00CB3DD2">
      <w:pPr>
        <w:pStyle w:val="a3"/>
        <w:spacing w:before="0" w:beforeAutospacing="0" w:after="225" w:afterAutospacing="0" w:line="360" w:lineRule="atLeast"/>
        <w:ind w:left="45" w:right="45" w:firstLine="450"/>
        <w:jc w:val="center"/>
        <w:rPr>
          <w:rFonts w:hint="eastAsia"/>
          <w:color w:val="666666"/>
          <w:sz w:val="21"/>
          <w:szCs w:val="21"/>
        </w:rPr>
      </w:pPr>
      <w:r>
        <w:rPr>
          <w:rFonts w:hint="eastAsia"/>
          <w:color w:val="666666"/>
          <w:sz w:val="21"/>
          <w:szCs w:val="21"/>
        </w:rPr>
        <w:t>第40号</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《高等学校预防与处理学术不端行为办法》已于2016年4月5日经教育部2016年第14次部长办公会议审议通过，现予发布，自2016年9月1日起施行。</w:t>
      </w:r>
    </w:p>
    <w:p w:rsidR="00CB3DD2" w:rsidRDefault="00CB3DD2" w:rsidP="00CB3DD2">
      <w:pPr>
        <w:pStyle w:val="a3"/>
        <w:spacing w:before="0" w:beforeAutospacing="0" w:after="225" w:afterAutospacing="0" w:line="360" w:lineRule="atLeast"/>
        <w:ind w:left="45" w:right="45" w:firstLine="450"/>
        <w:jc w:val="right"/>
        <w:rPr>
          <w:rFonts w:hint="eastAsia"/>
          <w:color w:val="666666"/>
          <w:sz w:val="21"/>
          <w:szCs w:val="21"/>
        </w:rPr>
      </w:pPr>
      <w:r>
        <w:rPr>
          <w:rFonts w:hint="eastAsia"/>
          <w:color w:val="666666"/>
          <w:sz w:val="21"/>
          <w:szCs w:val="21"/>
        </w:rPr>
        <w:t>教育部部长</w:t>
      </w:r>
    </w:p>
    <w:p w:rsidR="00CB3DD2" w:rsidRDefault="00CB3DD2" w:rsidP="00CB3DD2">
      <w:pPr>
        <w:pStyle w:val="a3"/>
        <w:spacing w:before="0" w:beforeAutospacing="0" w:after="225" w:afterAutospacing="0" w:line="360" w:lineRule="atLeast"/>
        <w:ind w:left="45" w:right="45" w:firstLine="450"/>
        <w:jc w:val="right"/>
        <w:rPr>
          <w:rFonts w:hint="eastAsia"/>
          <w:color w:val="666666"/>
          <w:sz w:val="21"/>
          <w:szCs w:val="21"/>
        </w:rPr>
      </w:pPr>
      <w:r>
        <w:rPr>
          <w:rFonts w:hint="eastAsia"/>
          <w:color w:val="666666"/>
          <w:sz w:val="21"/>
          <w:szCs w:val="21"/>
        </w:rPr>
        <w:t>2016年6月16日</w:t>
      </w:r>
    </w:p>
    <w:p w:rsidR="00CB3DD2" w:rsidRDefault="00CB3DD2" w:rsidP="00CB3DD2">
      <w:pPr>
        <w:pStyle w:val="a3"/>
        <w:spacing w:before="0" w:beforeAutospacing="0" w:after="0" w:afterAutospacing="0" w:line="360" w:lineRule="atLeast"/>
        <w:ind w:left="45" w:right="45" w:firstLine="450"/>
        <w:jc w:val="center"/>
        <w:rPr>
          <w:rFonts w:hint="eastAsia"/>
          <w:color w:val="666666"/>
          <w:sz w:val="21"/>
          <w:szCs w:val="21"/>
        </w:rPr>
      </w:pPr>
      <w:r>
        <w:rPr>
          <w:rStyle w:val="a4"/>
          <w:rFonts w:hint="eastAsia"/>
          <w:color w:val="666666"/>
          <w:sz w:val="21"/>
          <w:szCs w:val="21"/>
        </w:rPr>
        <w:t>高等学校预防与处理学术不端行为办法</w:t>
      </w:r>
    </w:p>
    <w:p w:rsidR="00CB3DD2" w:rsidRDefault="00CB3DD2" w:rsidP="00CB3DD2">
      <w:pPr>
        <w:pStyle w:val="a3"/>
        <w:spacing w:before="0" w:beforeAutospacing="0" w:after="0" w:afterAutospacing="0" w:line="360" w:lineRule="atLeast"/>
        <w:ind w:left="45" w:right="45" w:firstLine="450"/>
        <w:rPr>
          <w:rFonts w:hint="eastAsia"/>
          <w:color w:val="666666"/>
          <w:sz w:val="21"/>
          <w:szCs w:val="21"/>
        </w:rPr>
      </w:pPr>
      <w:r>
        <w:rPr>
          <w:rStyle w:val="a4"/>
          <w:rFonts w:hint="eastAsia"/>
          <w:color w:val="666666"/>
          <w:sz w:val="21"/>
          <w:szCs w:val="21"/>
        </w:rPr>
        <w:t>第一章总则</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一条为有效预防和严肃查处高等学校发生的学术不端行为，维护学术诚信，促进学术创新和发展，根据《中华人民共和国高等教育法》《中华人民共和国科学技术进步法》《中华人民共和国学位条例》等法律法规，制定本办法。</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第二条本办法所称学术不端行为是指高等学校及其教学科研人员、管理人员和学生，在科学研究及相关活动中发生的违反公认的学术准则、违背学术诚信的行为。</w:t>
      </w:r>
      <w:bookmarkStart w:id="0" w:name="_GoBack"/>
      <w:bookmarkEnd w:id="0"/>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第三条高等学校预防与处理学术不端行为应坚持预防为主、教育与惩戒结合的原则。</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四条教育部、国务院有关部门和省级教育部门负责制定高等学校学风建设的宏观政策，指导和监督高等学校学风建设工作，建立健全对所主管高等学校重大学术不端行为的处理机制，建立高校学术不端行为的通报与相关信息公开制度。</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五条高等学校是学术不端行为预防与处理的主体。高等学校应当建设集教育、预防、监督、惩治于一体的学术诚信体系，建立由主要负责人领导的学风建设工作机制，明确职责分工；依据本办法完善本校学术不端行为预防与处理的规则与程序。</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高等学校应当充分发挥学术委员会在学风建设方面的作用，支持和保障学术委员会依法履行职责，调查、认定学术不端行为。</w:t>
      </w:r>
    </w:p>
    <w:p w:rsidR="00CB3DD2" w:rsidRDefault="00CB3DD2" w:rsidP="00CB3DD2">
      <w:pPr>
        <w:pStyle w:val="a3"/>
        <w:spacing w:before="0" w:beforeAutospacing="0" w:after="0" w:afterAutospacing="0" w:line="360" w:lineRule="atLeast"/>
        <w:ind w:left="45" w:right="45" w:firstLine="450"/>
        <w:rPr>
          <w:rFonts w:hint="eastAsia"/>
          <w:color w:val="666666"/>
          <w:sz w:val="21"/>
          <w:szCs w:val="21"/>
        </w:rPr>
      </w:pPr>
      <w:r>
        <w:rPr>
          <w:rStyle w:val="a4"/>
          <w:rFonts w:hint="eastAsia"/>
          <w:color w:val="666666"/>
          <w:sz w:val="21"/>
          <w:szCs w:val="21"/>
        </w:rPr>
        <w:t>第二章教育与预防</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第六条高等学校应当完善学术治理体系，建立科学公正的学术评价和学术发展制度，营造鼓励创新、宽容失败、不骄不躁、风清气正的学术环境。</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高等学校教学科研人员、管理人员、学生在科研活动中应当遵循实事求是的科学精神和严谨认真的治学态度，恪守学术诚信，遵循学术准则，尊重和保护他人知识产权等合法权益。</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第七条高等学校应当将学术规范和学术诚信教育，作为教师培训和学生教育的必要内容，以多种形式开展教育、培训。</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lastRenderedPageBreak/>
        <w:t>教师对其指导的学生应当进行学术规范、学术诚信教育和指导，对学生公开发表论文、研究和撰写学位论文是否符合学术规范、学术诚信要求，进行必要的检查与审核。</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第八条高等学校应当利用信息技术等手段，建立对学术成果、学位论文所涉及内容的知识产权查询制度，健全学术规范监督机制。</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第九条高等学校应当建立健全科研管理制度，在合理期限内保存研究的原始数据和资料，保证科研档案和数据的真实性、完整性。</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高等学校应当完善科研项目评审、学术成果鉴定程序，结合学科特点，对非涉密的科研项目申报材料、学术成果的基本信息以适当方式进行公开。</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第十条高等学校应当遵循学术研究规律，建立科学的学术水平考核评价标准、办法，引导教学科研人员和学生潜心研究，形成具有创新性、独创性的研究成果。</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第十一条高等学校应当建立教学科研人员学术诚信记录，在年度考核、职称评定、岗位聘用、课题立项、人才计划、评优奖励中强化学术诚信考核。</w:t>
      </w:r>
    </w:p>
    <w:p w:rsidR="00CB3DD2" w:rsidRDefault="00CB3DD2" w:rsidP="00CB3DD2">
      <w:pPr>
        <w:pStyle w:val="a3"/>
        <w:spacing w:before="0" w:beforeAutospacing="0" w:after="0" w:afterAutospacing="0" w:line="360" w:lineRule="atLeast"/>
        <w:ind w:left="45" w:right="45" w:firstLine="450"/>
        <w:rPr>
          <w:rFonts w:hint="eastAsia"/>
          <w:color w:val="666666"/>
          <w:sz w:val="21"/>
          <w:szCs w:val="21"/>
        </w:rPr>
      </w:pPr>
      <w:r>
        <w:rPr>
          <w:rStyle w:val="a4"/>
          <w:rFonts w:hint="eastAsia"/>
          <w:color w:val="666666"/>
          <w:sz w:val="21"/>
          <w:szCs w:val="21"/>
        </w:rPr>
        <w:t>第三章受理与调查</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十二条高等学校应当明确具体部门，负责受理社会组织、个人对本校教学科研人员、管理人员及学生学术不端行为的举报；有条件的，可以设立专门岗位或者指定专人，负责学术诚信和不端行为举报相关事宜的咨询、受理、调查等工作。</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第十三条对学术不端行为的举报，一般应当以书面方式实名提出，并符合下列条件：</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w:t>
      </w:r>
      <w:proofErr w:type="gramStart"/>
      <w:r>
        <w:rPr>
          <w:rFonts w:hint="eastAsia"/>
          <w:color w:val="666666"/>
          <w:sz w:val="21"/>
          <w:szCs w:val="21"/>
        </w:rPr>
        <w:t>一</w:t>
      </w:r>
      <w:proofErr w:type="gramEnd"/>
      <w:r>
        <w:rPr>
          <w:rFonts w:hint="eastAsia"/>
          <w:color w:val="666666"/>
          <w:sz w:val="21"/>
          <w:szCs w:val="21"/>
        </w:rPr>
        <w:t>)有明确的举报对象；</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(二)有实施学术不端行为的事实；</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(三)有客观的证据材料或者查证线索。</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以匿名方式举报，但事实清楚、证据充分或者线索明确的，高等学校应当视情况予以受理。</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第十四条高等学校对媒体公开报道、其他学术机构或者社会组织主动披露的涉及本校人员的学术不端行为，应当依据职权，主动进行调查处理。</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第十五条高等学校受理机构认为举报材料符合条件的，应当及时</w:t>
      </w:r>
      <w:proofErr w:type="gramStart"/>
      <w:r>
        <w:rPr>
          <w:rFonts w:hint="eastAsia"/>
          <w:color w:val="666666"/>
          <w:sz w:val="21"/>
          <w:szCs w:val="21"/>
        </w:rPr>
        <w:t>作出</w:t>
      </w:r>
      <w:proofErr w:type="gramEnd"/>
      <w:r>
        <w:rPr>
          <w:rFonts w:hint="eastAsia"/>
          <w:color w:val="666666"/>
          <w:sz w:val="21"/>
          <w:szCs w:val="21"/>
        </w:rPr>
        <w:t>受理决定，并通知举报人。不予受理的，应当书面说明理由。</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第十六条学术不端行为举报受理后，应当交由学校学术委员会按照相关程序组织开展调查。</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学术委员会可委托有关专家就举报内容的合理性、调查的可能性等进行初步审查，并</w:t>
      </w:r>
      <w:proofErr w:type="gramStart"/>
      <w:r>
        <w:rPr>
          <w:rFonts w:hint="eastAsia"/>
          <w:color w:val="666666"/>
          <w:sz w:val="21"/>
          <w:szCs w:val="21"/>
        </w:rPr>
        <w:t>作出</w:t>
      </w:r>
      <w:proofErr w:type="gramEnd"/>
      <w:r>
        <w:rPr>
          <w:rFonts w:hint="eastAsia"/>
          <w:color w:val="666666"/>
          <w:sz w:val="21"/>
          <w:szCs w:val="21"/>
        </w:rPr>
        <w:t>是否进入正式调查的决定。</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决定不进入正式调查的，应当告知举报人。举报人如有新的证据，可以提出异议。异议成立的，应当进入正式调查。</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lastRenderedPageBreak/>
        <w:t>第十七条高等学校学术委员会决定进入正式调查的，应当通知被举报人。</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被调查行为涉及资助项目的，可以同时通知项目资助方。</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第十八条高等学校学术委员会应当组成调查组，负责对被举报行为进行调查；但对事实清楚、证据确凿、情节简单的被举报行为，也可以采用简易调查程序，具体办法由学术委员会确定。</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调查组应当不少于3人，必要时应当包括学校纪检、监察机构指派的工作人员，可以邀请同行专家参与调查或者以咨询等方式提供学术判断。</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被调查行为涉及资助项目的，可以邀请项目资助方委派相关专业人员参与调查组。</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第十九条调查组的组成人员与举报人或者被举报人有合作研究、亲属或者导师学生等直接利害关系的，应当回避。</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第二十条调查可通过查询资料、现场查看、实验检验、询问证人、询问举报人和被举报人等方式进行。调查组认为有必要的，可以委托无利害关系的专家或者第三</w:t>
      </w:r>
      <w:proofErr w:type="gramStart"/>
      <w:r>
        <w:rPr>
          <w:rFonts w:hint="eastAsia"/>
          <w:color w:val="666666"/>
          <w:sz w:val="21"/>
          <w:szCs w:val="21"/>
        </w:rPr>
        <w:t>方专业</w:t>
      </w:r>
      <w:proofErr w:type="gramEnd"/>
      <w:r>
        <w:rPr>
          <w:rFonts w:hint="eastAsia"/>
          <w:color w:val="666666"/>
          <w:sz w:val="21"/>
          <w:szCs w:val="21"/>
        </w:rPr>
        <w:t>机构就有关事项进行独立调查或者验证。</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第二十一条调查组在调查过程中，应当认真听取被举报人的陈述、申辩，对有关事实、理由和证据进行核实；认为必要的，可以采取听证方式。</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第二十二条有关单位和个人应当为调查组开展工作提供必要的便利和协助。</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举报人、被举报人、证人及其他有关人员应当如实回答询问，配合调查，提供相关证据材料，不得隐瞒或者提供虚假信息。</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第二十三条调查过程中，出现知识产权等争议引发的法律纠纷的，且该争议可能影响行为定性的，应当中止调查，待争议解决后重启调查。</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第二十四条调查组应当在查清事实的基础上形成调查报告。调查报告应当包括学术不端行为责任人的确认、调查过程、事实认定及理由、调查结论等。</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学术不端行为由多人集体做出的，调查报告中应当区别各责任人在行为中所发挥的作用。</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第二十五条接触举报材料和参与调查处理的人员，不得向无关人员透露举报人、被举报人个人信息及调查情况。</w:t>
      </w:r>
    </w:p>
    <w:p w:rsidR="00CB3DD2" w:rsidRDefault="00CB3DD2" w:rsidP="00CB3DD2">
      <w:pPr>
        <w:pStyle w:val="a3"/>
        <w:spacing w:before="0" w:beforeAutospacing="0" w:after="0" w:afterAutospacing="0" w:line="360" w:lineRule="atLeast"/>
        <w:ind w:left="45" w:right="45" w:firstLine="450"/>
        <w:rPr>
          <w:rFonts w:hint="eastAsia"/>
          <w:color w:val="666666"/>
          <w:sz w:val="21"/>
          <w:szCs w:val="21"/>
        </w:rPr>
      </w:pPr>
      <w:r>
        <w:rPr>
          <w:rStyle w:val="a4"/>
          <w:rFonts w:hint="eastAsia"/>
          <w:color w:val="666666"/>
          <w:sz w:val="21"/>
          <w:szCs w:val="21"/>
        </w:rPr>
        <w:t>第四章认定</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第二十六条高等学校学术委员会应当对调查组提交的调查报告进行审查；必要的，应当听取调查组的汇报。</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学术委员会可以召开全体会议或者授权专门委员会对被调查行为是否构成学术不端行为以及行为的性质、情节等</w:t>
      </w:r>
      <w:proofErr w:type="gramStart"/>
      <w:r>
        <w:rPr>
          <w:rFonts w:hint="eastAsia"/>
          <w:color w:val="666666"/>
          <w:sz w:val="21"/>
          <w:szCs w:val="21"/>
        </w:rPr>
        <w:t>作出</w:t>
      </w:r>
      <w:proofErr w:type="gramEnd"/>
      <w:r>
        <w:rPr>
          <w:rFonts w:hint="eastAsia"/>
          <w:color w:val="666666"/>
          <w:sz w:val="21"/>
          <w:szCs w:val="21"/>
        </w:rPr>
        <w:t>认定结论，并依职权</w:t>
      </w:r>
      <w:proofErr w:type="gramStart"/>
      <w:r>
        <w:rPr>
          <w:rFonts w:hint="eastAsia"/>
          <w:color w:val="666666"/>
          <w:sz w:val="21"/>
          <w:szCs w:val="21"/>
        </w:rPr>
        <w:t>作出</w:t>
      </w:r>
      <w:proofErr w:type="gramEnd"/>
      <w:r>
        <w:rPr>
          <w:rFonts w:hint="eastAsia"/>
          <w:color w:val="666666"/>
          <w:sz w:val="21"/>
          <w:szCs w:val="21"/>
        </w:rPr>
        <w:t>处理或建议学校</w:t>
      </w:r>
      <w:proofErr w:type="gramStart"/>
      <w:r>
        <w:rPr>
          <w:rFonts w:hint="eastAsia"/>
          <w:color w:val="666666"/>
          <w:sz w:val="21"/>
          <w:szCs w:val="21"/>
        </w:rPr>
        <w:t>作出</w:t>
      </w:r>
      <w:proofErr w:type="gramEnd"/>
      <w:r>
        <w:rPr>
          <w:rFonts w:hint="eastAsia"/>
          <w:color w:val="666666"/>
          <w:sz w:val="21"/>
          <w:szCs w:val="21"/>
        </w:rPr>
        <w:t>相应处理。</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第二十七条经调查，确认被举报人在科学研究及相关活动中有下列行为之一的，应当认定为构成学术不端行为：</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lastRenderedPageBreak/>
        <w:t>(</w:t>
      </w:r>
      <w:proofErr w:type="gramStart"/>
      <w:r>
        <w:rPr>
          <w:rFonts w:hint="eastAsia"/>
          <w:color w:val="666666"/>
          <w:sz w:val="21"/>
          <w:szCs w:val="21"/>
        </w:rPr>
        <w:t>一</w:t>
      </w:r>
      <w:proofErr w:type="gramEnd"/>
      <w:r>
        <w:rPr>
          <w:rFonts w:hint="eastAsia"/>
          <w:color w:val="666666"/>
          <w:sz w:val="21"/>
          <w:szCs w:val="21"/>
        </w:rPr>
        <w:t>)剽窃、抄袭、侵占他人学术成果；</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(二)篡改他人研究成果；</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(三)伪造科研数据、资料、文献、注释，或者捏造事实、编造虚假研究成果；</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(四)未参加研究或创作而在研究成果、学术论文上署名，未经他人许可而不当使用他人署名，虚构合作者共同署名，或者多人共同完成研究而在成果中未注明他人工作、贡献；</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(五)在申报课题、成果、奖励和职务评审评定、申请学位等过程中提供虚假学术信息；</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(六)买卖论文、由他人代写或者为他人代写论文；</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(七)其他根据高等学校或者有关学术组织、相关科研管理机构制定的规则，属于学术不端的行为。</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第二十八条有学术不端行为且有下列情形之一的，应当认定为情节严重：</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w:t>
      </w:r>
      <w:proofErr w:type="gramStart"/>
      <w:r>
        <w:rPr>
          <w:rFonts w:hint="eastAsia"/>
          <w:color w:val="666666"/>
          <w:sz w:val="21"/>
          <w:szCs w:val="21"/>
        </w:rPr>
        <w:t>一</w:t>
      </w:r>
      <w:proofErr w:type="gramEnd"/>
      <w:r>
        <w:rPr>
          <w:rFonts w:hint="eastAsia"/>
          <w:color w:val="666666"/>
          <w:sz w:val="21"/>
          <w:szCs w:val="21"/>
        </w:rPr>
        <w:t>)造成恶劣影响的；</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(二)存在利益输送或者利益交换的；</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(三)对举报人进行打击报复的；</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(四)有组织实施学术不端行为的；</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(五)多次实施学术不端行为的；</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(六)其他造成严重后果或者恶劣影响的。</w:t>
      </w:r>
    </w:p>
    <w:p w:rsidR="00CB3DD2" w:rsidRDefault="00CB3DD2" w:rsidP="00CB3DD2">
      <w:pPr>
        <w:pStyle w:val="a3"/>
        <w:spacing w:before="0" w:beforeAutospacing="0" w:after="0" w:afterAutospacing="0" w:line="360" w:lineRule="atLeast"/>
        <w:ind w:left="45" w:right="45" w:firstLine="450"/>
        <w:rPr>
          <w:rFonts w:hint="eastAsia"/>
          <w:color w:val="666666"/>
          <w:sz w:val="21"/>
          <w:szCs w:val="21"/>
        </w:rPr>
      </w:pPr>
      <w:r>
        <w:rPr>
          <w:rStyle w:val="a4"/>
          <w:rFonts w:hint="eastAsia"/>
          <w:color w:val="666666"/>
          <w:sz w:val="21"/>
          <w:szCs w:val="21"/>
        </w:rPr>
        <w:t>第五章处理</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第二十九条高等学校应当根据学术委员会的认定结论和处理建议，结合行为性质和情节轻重，依职权和规定程序对学术不端行为责任人</w:t>
      </w:r>
      <w:proofErr w:type="gramStart"/>
      <w:r>
        <w:rPr>
          <w:rFonts w:hint="eastAsia"/>
          <w:color w:val="666666"/>
          <w:sz w:val="21"/>
          <w:szCs w:val="21"/>
        </w:rPr>
        <w:t>作出</w:t>
      </w:r>
      <w:proofErr w:type="gramEnd"/>
      <w:r>
        <w:rPr>
          <w:rFonts w:hint="eastAsia"/>
          <w:color w:val="666666"/>
          <w:sz w:val="21"/>
          <w:szCs w:val="21"/>
        </w:rPr>
        <w:t>如下处理：</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w:t>
      </w:r>
      <w:proofErr w:type="gramStart"/>
      <w:r>
        <w:rPr>
          <w:rFonts w:hint="eastAsia"/>
          <w:color w:val="666666"/>
          <w:sz w:val="21"/>
          <w:szCs w:val="21"/>
        </w:rPr>
        <w:t>一</w:t>
      </w:r>
      <w:proofErr w:type="gramEnd"/>
      <w:r>
        <w:rPr>
          <w:rFonts w:hint="eastAsia"/>
          <w:color w:val="666666"/>
          <w:sz w:val="21"/>
          <w:szCs w:val="21"/>
        </w:rPr>
        <w:t>)通报批评；</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(二)终止或者撤销相关的科研项目，并在一定期限内取消申请资格；</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(三)撤销学术奖励或者荣誉称号；</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(四)辞退或解聘；</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(五)法律、法规及规章规定的其他处理措施。</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同时，可以依照有关规定，给予警告、记过、降低岗位等级或者撤职、开除等处分。</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学术不端行为责任人获得有关部门、机构设立的科研项目、学术奖励或者荣誉称号等利益的，学校应当同时向有关主管部门提出处理建议。</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学生有学术不端行为的，还应当按照学生管理的相关规定，给予相应的学籍处分。</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lastRenderedPageBreak/>
        <w:t>学术不端行为与获得学位有直接关联的，由学位授予单位作暂缓授予学位、不授予学位或者依法撤销学位等处理。</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第三十条高等学校对学术不端行为</w:t>
      </w:r>
      <w:proofErr w:type="gramStart"/>
      <w:r>
        <w:rPr>
          <w:rFonts w:hint="eastAsia"/>
          <w:color w:val="666666"/>
          <w:sz w:val="21"/>
          <w:szCs w:val="21"/>
        </w:rPr>
        <w:t>作出</w:t>
      </w:r>
      <w:proofErr w:type="gramEnd"/>
      <w:r>
        <w:rPr>
          <w:rFonts w:hint="eastAsia"/>
          <w:color w:val="666666"/>
          <w:sz w:val="21"/>
          <w:szCs w:val="21"/>
        </w:rPr>
        <w:t>处理决定，应当制作处理决定书，载明以下内容：</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w:t>
      </w:r>
      <w:proofErr w:type="gramStart"/>
      <w:r>
        <w:rPr>
          <w:rFonts w:hint="eastAsia"/>
          <w:color w:val="666666"/>
          <w:sz w:val="21"/>
          <w:szCs w:val="21"/>
        </w:rPr>
        <w:t>一</w:t>
      </w:r>
      <w:proofErr w:type="gramEnd"/>
      <w:r>
        <w:rPr>
          <w:rFonts w:hint="eastAsia"/>
          <w:color w:val="666666"/>
          <w:sz w:val="21"/>
          <w:szCs w:val="21"/>
        </w:rPr>
        <w:t>)责任人的基本情况；</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(二)经查证的学术不端行为事实；</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(三)处理意见和依据；</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(四)救济途径和期限；</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(五)其他必要内容。</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第三十一条经调查认定，不构成学术不端行为的，根据被举报人申请，高等学校应当通过一定方式为其消除影响、恢复名誉等。</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调查处理过程中，发现举报人存在捏造事实、诬告陷害等行为的，应当认定为举报不实或者虚假举报，举报人应当承担相应责任。属于本单位人员的，高等学校应当按照有关规定给</w:t>
      </w:r>
      <w:proofErr w:type="gramStart"/>
      <w:r>
        <w:rPr>
          <w:rFonts w:hint="eastAsia"/>
          <w:color w:val="666666"/>
          <w:sz w:val="21"/>
          <w:szCs w:val="21"/>
        </w:rPr>
        <w:t>予处理</w:t>
      </w:r>
      <w:proofErr w:type="gramEnd"/>
      <w:r>
        <w:rPr>
          <w:rFonts w:hint="eastAsia"/>
          <w:color w:val="666666"/>
          <w:sz w:val="21"/>
          <w:szCs w:val="21"/>
        </w:rPr>
        <w:t>；不属于本单位人员的，应通报其所在单位，并提出处理建议。</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第三十二条参与举报受理、调查和处理的人员违反保密等规定，造成不良影响的，按照有关规定给予处分或其他处理。</w:t>
      </w:r>
    </w:p>
    <w:p w:rsidR="00CB3DD2" w:rsidRDefault="00CB3DD2" w:rsidP="00CB3DD2">
      <w:pPr>
        <w:pStyle w:val="a3"/>
        <w:spacing w:before="0" w:beforeAutospacing="0" w:after="0" w:afterAutospacing="0" w:line="360" w:lineRule="atLeast"/>
        <w:ind w:left="45" w:right="45" w:firstLine="450"/>
        <w:rPr>
          <w:rFonts w:hint="eastAsia"/>
          <w:color w:val="666666"/>
          <w:sz w:val="21"/>
          <w:szCs w:val="21"/>
        </w:rPr>
      </w:pPr>
      <w:r>
        <w:rPr>
          <w:rStyle w:val="a4"/>
          <w:rFonts w:hint="eastAsia"/>
          <w:color w:val="666666"/>
          <w:sz w:val="21"/>
          <w:szCs w:val="21"/>
        </w:rPr>
        <w:t>第六章复核</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第三十三条举报人或者学术不端行为责任人对处理决定不服的，可以在收到处理决定之日起30日内，以书面形式向高等学校提出异议或者复核申请。</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异议和复核不影响处理决定的执行。</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第三十四条高等学校收到异议或者复核申请后，应当交由学术委员会组织讨论，并于15日内</w:t>
      </w:r>
      <w:proofErr w:type="gramStart"/>
      <w:r>
        <w:rPr>
          <w:rFonts w:hint="eastAsia"/>
          <w:color w:val="666666"/>
          <w:sz w:val="21"/>
          <w:szCs w:val="21"/>
        </w:rPr>
        <w:t>作出</w:t>
      </w:r>
      <w:proofErr w:type="gramEnd"/>
      <w:r>
        <w:rPr>
          <w:rFonts w:hint="eastAsia"/>
          <w:color w:val="666666"/>
          <w:sz w:val="21"/>
          <w:szCs w:val="21"/>
        </w:rPr>
        <w:t>是否受理的决定。</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决定受理的，学校或者学术委员会可以另行组织调查组或者委托第三方机构进行调查；决定不予受理的，应当书面通知当事人。</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第三十五条当事人对复核决定不服，仍以同一事实和理由提出异议或者申请复核的，不予受理；向有关主管部门提出申诉的，按照相关规定执行。</w:t>
      </w:r>
    </w:p>
    <w:p w:rsidR="00CB3DD2" w:rsidRDefault="00CB3DD2" w:rsidP="00CB3DD2">
      <w:pPr>
        <w:pStyle w:val="a3"/>
        <w:spacing w:before="0" w:beforeAutospacing="0" w:after="0" w:afterAutospacing="0" w:line="360" w:lineRule="atLeast"/>
        <w:ind w:left="45" w:right="45" w:firstLine="450"/>
        <w:rPr>
          <w:rFonts w:hint="eastAsia"/>
          <w:color w:val="666666"/>
          <w:sz w:val="21"/>
          <w:szCs w:val="21"/>
        </w:rPr>
      </w:pPr>
      <w:r>
        <w:rPr>
          <w:rStyle w:val="a4"/>
          <w:rFonts w:hint="eastAsia"/>
          <w:color w:val="666666"/>
          <w:sz w:val="21"/>
          <w:szCs w:val="21"/>
        </w:rPr>
        <w:t>第七章监督</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第三十六条高等学校应当按年度发布学风建设工作报告，并向社会公开，接受社会监督。</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第三十七条高等学校处理学术不端行为推诿塞责、隐瞒包庇、查处不力的，主管部门可以直接组织或者委托相关机构查处。</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lastRenderedPageBreak/>
        <w:t>第三十八条高等学校对本校发生的学术不端行为，未能及时查处并做出公正结论，造成恶劣影响的，主管部门应当追究相关领导的责任，并进行通报。</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高等学校为获得相关利益，有组织实施学术不端行为的，主管部门调查确认后，应当撤销高等学校由此获得的相关权利、项目以及其他利益，并追究学校主要负责人、直接负责人的责任。</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第八章附则</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第三十九条高等学校应当根据本办法，结合学校实际和学科特点，制定本校学术不端行为查处规则及处理办法，明确各类学术不端行为的惩处标准。有关规则应当经学校学术委员会和教职工代表大会讨论通过。</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第四十条高等学校主管部门对直接受理的学术不端案件，可自行组织调查组或者指定、委托高等学校、有关机构组织调查、认定。对学术不端行为责任人的处理，根据本办法及国家有关规定执行。</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教育系统所属科研机构及其他单位有关人员学术不端行为的调查与处理，可参照本办法执行。</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第四十一条本办法自2016年9月1日起施行。</w:t>
      </w:r>
    </w:p>
    <w:p w:rsidR="00CB3DD2" w:rsidRDefault="00CB3DD2" w:rsidP="00CB3DD2">
      <w:pPr>
        <w:pStyle w:val="a3"/>
        <w:spacing w:before="0" w:beforeAutospacing="0" w:after="225" w:afterAutospacing="0" w:line="360" w:lineRule="atLeast"/>
        <w:ind w:left="45" w:right="45" w:firstLine="450"/>
        <w:rPr>
          <w:rFonts w:hint="eastAsia"/>
          <w:color w:val="666666"/>
          <w:sz w:val="21"/>
          <w:szCs w:val="21"/>
        </w:rPr>
      </w:pPr>
      <w:r>
        <w:rPr>
          <w:rFonts w:hint="eastAsia"/>
          <w:color w:val="666666"/>
          <w:sz w:val="21"/>
          <w:szCs w:val="21"/>
        </w:rPr>
        <w:t>教育部此前发布的有关规章、文件中的相关规定与本办法不一致的，以本办法为准。</w:t>
      </w:r>
    </w:p>
    <w:p w:rsidR="008F44CD" w:rsidRPr="00CB3DD2" w:rsidRDefault="008F44CD"/>
    <w:sectPr w:rsidR="008F44CD" w:rsidRPr="00CB3DD2" w:rsidSect="00CB3DD2">
      <w:pgSz w:w="11906" w:h="16838"/>
      <w:pgMar w:top="993" w:right="849" w:bottom="993" w:left="1276"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7194"/>
    <w:rsid w:val="008F44CD"/>
    <w:rsid w:val="00CB3DD2"/>
    <w:rsid w:val="00F7719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Char"/>
    <w:uiPriority w:val="9"/>
    <w:qFormat/>
    <w:rsid w:val="00CB3DD2"/>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CB3DD2"/>
    <w:rPr>
      <w:rFonts w:ascii="宋体" w:eastAsia="宋体" w:hAnsi="宋体" w:cs="宋体"/>
      <w:b/>
      <w:bCs/>
      <w:kern w:val="36"/>
      <w:sz w:val="48"/>
      <w:szCs w:val="48"/>
    </w:rPr>
  </w:style>
  <w:style w:type="paragraph" w:styleId="a3">
    <w:name w:val="Normal (Web)"/>
    <w:basedOn w:val="a"/>
    <w:uiPriority w:val="99"/>
    <w:semiHidden/>
    <w:unhideWhenUsed/>
    <w:rsid w:val="00CB3DD2"/>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CB3DD2"/>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Char"/>
    <w:uiPriority w:val="9"/>
    <w:qFormat/>
    <w:rsid w:val="00CB3DD2"/>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CB3DD2"/>
    <w:rPr>
      <w:rFonts w:ascii="宋体" w:eastAsia="宋体" w:hAnsi="宋体" w:cs="宋体"/>
      <w:b/>
      <w:bCs/>
      <w:kern w:val="36"/>
      <w:sz w:val="48"/>
      <w:szCs w:val="48"/>
    </w:rPr>
  </w:style>
  <w:style w:type="paragraph" w:styleId="a3">
    <w:name w:val="Normal (Web)"/>
    <w:basedOn w:val="a"/>
    <w:uiPriority w:val="99"/>
    <w:semiHidden/>
    <w:unhideWhenUsed/>
    <w:rsid w:val="00CB3DD2"/>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CB3DD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2082553">
      <w:bodyDiv w:val="1"/>
      <w:marLeft w:val="0"/>
      <w:marRight w:val="0"/>
      <w:marTop w:val="0"/>
      <w:marBottom w:val="0"/>
      <w:divBdr>
        <w:top w:val="none" w:sz="0" w:space="0" w:color="auto"/>
        <w:left w:val="none" w:sz="0" w:space="0" w:color="auto"/>
        <w:bottom w:val="none" w:sz="0" w:space="0" w:color="auto"/>
        <w:right w:val="none" w:sz="0" w:space="0" w:color="auto"/>
      </w:divBdr>
    </w:div>
    <w:div w:id="12168883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555555"/>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6</Pages>
  <Words>679</Words>
  <Characters>3876</Characters>
  <Application>Microsoft Office Word</Application>
  <DocSecurity>0</DocSecurity>
  <Lines>32</Lines>
  <Paragraphs>9</Paragraphs>
  <ScaleCrop>false</ScaleCrop>
  <Company/>
  <LinksUpToDate>false</LinksUpToDate>
  <CharactersWithSpaces>4546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2016-09-26T02:42:00Z</dcterms:created>
  <dcterms:modified xsi:type="dcterms:W3CDTF">2016-09-26T02:45:00Z</dcterms:modified>
</cp:coreProperties>
</file>