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4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/>
          <w:sz w:val="30"/>
          <w:szCs w:val="30"/>
        </w:rPr>
        <w:t xml:space="preserve">                 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全国职业院校技能大赛教学能力比赛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参赛报名表</w:t>
      </w:r>
    </w:p>
    <w:tbl>
      <w:tblPr>
        <w:tblStyle w:val="10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361"/>
        <w:gridCol w:w="1446"/>
        <w:gridCol w:w="18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bookmarkStart w:id="0" w:name="_Hlk27433999"/>
            <w:r>
              <w:rPr>
                <w:rFonts w:ascii="Times New Roman" w:hAnsi="Times New Roman"/>
                <w:b/>
                <w:sz w:val="28"/>
                <w:szCs w:val="28"/>
              </w:rPr>
              <w:t>参赛作品基本信息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中等职业教育组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高等职业教育组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公共基础课程组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专业（技能）课程一组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专业（技能）课程二组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作品名称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课程总学时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参赛学时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szCs w:val="21"/>
        </w:rPr>
      </w:pPr>
      <w:r>
        <w:rPr>
          <w:rFonts w:ascii="宋体" w:hAnsi="宋体"/>
          <w:b/>
          <w:sz w:val="28"/>
          <w:szCs w:val="28"/>
        </w:rPr>
        <w:t>参赛教师基本信息</w:t>
      </w:r>
    </w:p>
    <w:tbl>
      <w:tblPr>
        <w:tblStyle w:val="10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bookmarkStart w:id="1" w:name="_Hlk27431713"/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  <w:bookmarkEnd w:id="1"/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</w:rPr>
              <w:t>□</w:t>
            </w:r>
            <w:r>
              <w:rPr>
                <w:rFonts w:ascii="Times New Roman" w:hAnsi="Times New Roman"/>
              </w:rPr>
              <w:t>普通教师</w:t>
            </w:r>
            <w:r>
              <w:rPr>
                <w:rFonts w:ascii="Times New Roman" w:hAnsi="Times New Roman" w:eastAsia="方正仿宋简体"/>
              </w:rPr>
              <w:t> </w:t>
            </w:r>
            <w:r>
              <w:rPr>
                <w:rFonts w:ascii="方正仿宋简体" w:hAnsi="方正仿宋简体"/>
              </w:rPr>
              <w:t>□</w:t>
            </w:r>
            <w:r>
              <w:rPr>
                <w:rFonts w:ascii="Times New Roman" w:hAnsi="Times New Roman"/>
              </w:rPr>
              <w:t xml:space="preserve">教研室负责人 </w:t>
            </w:r>
            <w:r>
              <w:rPr>
                <w:rFonts w:ascii="方正仿宋简体" w:hAnsi="方正仿宋简体"/>
              </w:rPr>
              <w:t>□</w:t>
            </w:r>
            <w:r>
              <w:rPr>
                <w:rFonts w:ascii="Times New Roman" w:hAnsi="Times New Roman"/>
              </w:rPr>
              <w:t>系（分院）负责人</w:t>
            </w:r>
            <w:r>
              <w:rPr>
                <w:rFonts w:ascii="Times New Roman" w:hAnsi="Times New Roman" w:eastAsia="方正仿宋简体"/>
              </w:rPr>
              <w:t> </w:t>
            </w:r>
            <w:r>
              <w:rPr>
                <w:rFonts w:ascii="方正仿宋简体" w:hAnsi="方正仿宋简体"/>
              </w:rPr>
              <w:t>□</w:t>
            </w:r>
            <w:r>
              <w:rPr>
                <w:rFonts w:ascii="Times New Roman" w:hAnsi="Times New Roman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寸照片</w:t>
            </w:r>
          </w:p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未定级 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初级</w:t>
            </w:r>
            <w:r>
              <w:rPr>
                <w:rFonts w:ascii="方正仿宋简体" w:hAnsi="Times New Roman"/>
                <w:sz w:val="28"/>
                <w:szCs w:val="28"/>
              </w:rPr>
              <w:t> 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中级 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副高 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正高</w:t>
            </w:r>
          </w:p>
        </w:tc>
        <w:tc>
          <w:tcPr>
            <w:tcW w:w="4161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大专及以下 </w:t>
            </w:r>
            <w:r>
              <w:rPr>
                <w:rFonts w:ascii="方正仿宋简体" w:hAnsi="Times New Roman"/>
                <w:sz w:val="28"/>
                <w:szCs w:val="28"/>
              </w:rPr>
              <w:t> 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本科</w:t>
            </w:r>
            <w:r>
              <w:rPr>
                <w:rFonts w:ascii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硕士 </w:t>
            </w:r>
            <w:r>
              <w:rPr>
                <w:rFonts w:ascii="方正仿宋简体" w:hAnsi="Times New Roman"/>
                <w:sz w:val="28"/>
                <w:szCs w:val="28"/>
              </w:rPr>
              <w:t> 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博士</w:t>
            </w:r>
          </w:p>
        </w:tc>
        <w:tc>
          <w:tcPr>
            <w:tcW w:w="4161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在职教师 </w:t>
            </w:r>
            <w:r>
              <w:rPr>
                <w:rFonts w:ascii="方正仿宋简体" w:hAnsi="Times New Roman"/>
                <w:sz w:val="28"/>
                <w:szCs w:val="28"/>
              </w:rPr>
              <w:t> </w:t>
            </w:r>
            <w:r>
              <w:rPr>
                <w:rFonts w:ascii="方正仿宋简体" w:hAnsi="方正仿宋简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企业兼职教师</w:t>
            </w:r>
          </w:p>
        </w:tc>
        <w:tc>
          <w:tcPr>
            <w:tcW w:w="4161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verflowPunct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1361" w:footer="1361" w:gutter="0"/>
          <w:pgNumType w:start="1"/>
          <w:cols w:space="425" w:num="1"/>
          <w:docGrid w:type="lines" w:linePitch="579" w:charSpace="21679"/>
        </w:sectPr>
      </w:pPr>
    </w:p>
    <w:p>
      <w:pPr>
        <w:spacing w:line="400" w:lineRule="exact"/>
        <w:ind w:right="64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2-2</w:t>
      </w:r>
    </w:p>
    <w:p>
      <w:pPr>
        <w:overflowPunct w:val="0"/>
        <w:snapToGrid w:val="0"/>
        <w:spacing w:line="56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参赛作品汇总表</w:t>
      </w: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系部：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40"/>
        <w:gridCol w:w="2150"/>
        <w:gridCol w:w="3983"/>
        <w:gridCol w:w="135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作品名称</w:t>
            </w:r>
          </w:p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（根据教学任务凝练）</w:t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团队</w:t>
            </w:r>
          </w:p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8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54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spacing w:line="560" w:lineRule="exact"/>
        <w:ind w:firstLine="770" w:firstLineChars="200"/>
        <w:rPr>
          <w:rFonts w:asciiTheme="minorEastAsia" w:hAnsiTheme="minorEastAsia" w:eastAsiaTheme="minorEastAsia"/>
          <w:sz w:val="28"/>
          <w:szCs w:val="28"/>
        </w:rPr>
        <w:sectPr>
          <w:pgSz w:w="16838" w:h="11906" w:orient="landscape"/>
          <w:pgMar w:top="1588" w:right="2098" w:bottom="1474" w:left="1985" w:header="851" w:footer="397" w:gutter="0"/>
          <w:cols w:space="425" w:num="1"/>
          <w:titlePg/>
          <w:docGrid w:type="linesAndChars" w:linePitch="579" w:charSpace="21679"/>
        </w:sectPr>
      </w:pPr>
    </w:p>
    <w:p>
      <w:pPr>
        <w:spacing w:line="400" w:lineRule="exact"/>
        <w:ind w:right="64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附件2-3</w:t>
      </w:r>
    </w:p>
    <w:p>
      <w:pPr>
        <w:overflowPunct w:val="0"/>
        <w:snapToGrid w:val="0"/>
        <w:spacing w:line="4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参赛作品</w:t>
      </w:r>
      <w:r>
        <w:rPr>
          <w:rFonts w:hint="eastAsia" w:ascii="方正小标宋简体" w:hAnsi="黑体" w:eastAsia="方正小标宋简体"/>
          <w:sz w:val="30"/>
          <w:szCs w:val="30"/>
        </w:rPr>
        <w:t>上交材料有关要求</w:t>
      </w:r>
    </w:p>
    <w:p>
      <w:pPr>
        <w:overflowPunct w:val="0"/>
        <w:spacing w:line="40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一、参赛作品文档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材料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所有文档材料均要求规范、简明、完整、朴实，以PDF格式提交，每个文件大小不超过100M。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（一）参赛教案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</w:t>
      </w:r>
      <w:r>
        <w:rPr>
          <w:rFonts w:hint="eastAsia" w:asciiTheme="minorEastAsia" w:hAnsiTheme="minorEastAsia" w:eastAsiaTheme="minorEastAsia"/>
          <w:sz w:val="24"/>
          <w:szCs w:val="24"/>
        </w:rPr>
        <w:t>设计合理、</w:t>
      </w:r>
      <w:r>
        <w:rPr>
          <w:rFonts w:asciiTheme="minorEastAsia" w:hAnsiTheme="minorEastAsia" w:eastAsiaTheme="minorEastAsia"/>
          <w:sz w:val="24"/>
          <w:szCs w:val="24"/>
        </w:rPr>
        <w:t>重点突出</w:t>
      </w:r>
      <w:r>
        <w:rPr>
          <w:rFonts w:hint="eastAsia" w:asciiTheme="minorEastAsia" w:hAnsiTheme="minorEastAsia" w:eastAsiaTheme="minorEastAsia"/>
          <w:sz w:val="24"/>
          <w:szCs w:val="24"/>
        </w:rPr>
        <w:t>、规范完整、详略得当，能够有效指导教学活动的实施，应当侧重体现具体的教学内容及处理、教学活动及安排</w:t>
      </w:r>
      <w:r>
        <w:rPr>
          <w:rFonts w:asciiTheme="minorEastAsia" w:hAnsiTheme="minorEastAsia" w:eastAsiaTheme="minorEastAsia"/>
          <w:sz w:val="24"/>
          <w:szCs w:val="24"/>
        </w:rPr>
        <w:t>。</w:t>
      </w:r>
      <w:bookmarkStart w:id="2" w:name="_Hlk36506197"/>
      <w:r>
        <w:rPr>
          <w:rFonts w:hint="eastAsia" w:asciiTheme="minorEastAsia" w:hAnsiTheme="minorEastAsia" w:eastAsiaTheme="minorEastAsia"/>
          <w:sz w:val="24"/>
          <w:szCs w:val="24"/>
        </w:rPr>
        <w:t>原则上每份教案的教学内容不超过2学时，实践性教学环节的教学内容可以不超过4学时</w:t>
      </w:r>
      <w:bookmarkEnd w:id="2"/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t>每</w:t>
      </w:r>
      <w:r>
        <w:rPr>
          <w:rFonts w:hint="eastAsia" w:asciiTheme="minorEastAsia" w:hAnsiTheme="minorEastAsia" w:eastAsiaTheme="minorEastAsia"/>
          <w:sz w:val="24"/>
          <w:szCs w:val="24"/>
        </w:rPr>
        <w:t>件</w:t>
      </w:r>
      <w:r>
        <w:rPr>
          <w:rFonts w:asciiTheme="minorEastAsia" w:hAnsiTheme="minorEastAsia" w:eastAsiaTheme="minorEastAsia"/>
          <w:sz w:val="24"/>
          <w:szCs w:val="24"/>
        </w:rPr>
        <w:t>参赛作品的全部教案</w:t>
      </w:r>
      <w:r>
        <w:rPr>
          <w:rFonts w:hint="eastAsia" w:asciiTheme="minorEastAsia" w:hAnsiTheme="minorEastAsia" w:eastAsiaTheme="minorEastAsia"/>
          <w:sz w:val="24"/>
          <w:szCs w:val="24"/>
        </w:rPr>
        <w:t>按序逐一标明序号，合并为</w:t>
      </w:r>
      <w:r>
        <w:rPr>
          <w:rFonts w:asciiTheme="minorEastAsia" w:hAnsiTheme="minorEastAsia" w:eastAsiaTheme="minorEastAsia"/>
          <w:sz w:val="24"/>
          <w:szCs w:val="24"/>
        </w:rPr>
        <w:t>一个文件提交。</w:t>
      </w:r>
      <w:r>
        <w:rPr>
          <w:rFonts w:asciiTheme="minorEastAsia" w:hAnsiTheme="minorEastAsia" w:eastAsiaTheme="minorEastAsia"/>
          <w:sz w:val="24"/>
          <w:szCs w:val="24"/>
          <w:lang w:val="en-US" w:eastAsia="zh-CN"/>
        </w:rPr>
        <w:t>教学团队根据提交的专业人才培养方案和课程标准（或部颁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 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学时，专周实习实训、岗位实习，以及有场地设备特殊要求的实训教学内容可连续安排 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 xml:space="preserve">3-4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学时。专周实习实训、岗位实习的教案应符合真实项目、岗位实践教学实际。每次课的教案按序逐一标明序号，合并为一个文件提交。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（二）教学实施报告</w:t>
      </w:r>
    </w:p>
    <w:p>
      <w:pPr>
        <w:overflowPunct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教学团队在完成教学设计和实施之后，撰写1份教学实施报告。报告应梳理总结参赛作品的教学整体设计、教学实施</w:t>
      </w:r>
      <w:r>
        <w:rPr>
          <w:rFonts w:hint="eastAsia" w:asciiTheme="minorEastAsia" w:hAnsiTheme="minorEastAsia" w:eastAsiaTheme="minorEastAsia"/>
          <w:sz w:val="24"/>
          <w:szCs w:val="24"/>
        </w:rPr>
        <w:t>过程、学习效果</w:t>
      </w:r>
      <w:r>
        <w:rPr>
          <w:rFonts w:asciiTheme="minorEastAsia" w:hAnsiTheme="minorEastAsia" w:eastAsiaTheme="minorEastAsia"/>
          <w:sz w:val="24"/>
          <w:szCs w:val="24"/>
        </w:rPr>
        <w:t>、反思改进等方面情况，突出重点和特色，</w:t>
      </w:r>
      <w:r>
        <w:rPr>
          <w:rFonts w:hint="eastAsia" w:asciiTheme="minorEastAsia" w:hAnsiTheme="minorEastAsia" w:eastAsiaTheme="minorEastAsia"/>
          <w:sz w:val="24"/>
          <w:szCs w:val="24"/>
        </w:rPr>
        <w:t>突出疫情防控期间线上教学的创新举措和成效，</w:t>
      </w:r>
      <w:r>
        <w:rPr>
          <w:rFonts w:asciiTheme="minorEastAsia" w:hAnsiTheme="minorEastAsia" w:eastAsiaTheme="minorEastAsia"/>
          <w:sz w:val="24"/>
          <w:szCs w:val="24"/>
        </w:rPr>
        <w:t>可用图表</w:t>
      </w:r>
      <w:r>
        <w:rPr>
          <w:rFonts w:hint="eastAsia" w:asciiTheme="minorEastAsia" w:hAnsiTheme="minorEastAsia" w:eastAsiaTheme="minorEastAsia"/>
          <w:sz w:val="24"/>
          <w:szCs w:val="24"/>
        </w:rPr>
        <w:t>加以</w:t>
      </w:r>
      <w:r>
        <w:rPr>
          <w:rFonts w:asciiTheme="minorEastAsia" w:hAnsiTheme="minorEastAsia" w:eastAsiaTheme="minorEastAsia"/>
          <w:sz w:val="24"/>
          <w:szCs w:val="24"/>
        </w:rPr>
        <w:t>佐证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bookmarkStart w:id="3" w:name="_Hlk36506264"/>
      <w:r>
        <w:rPr>
          <w:rFonts w:hint="eastAsia" w:asciiTheme="minorEastAsia" w:hAnsiTheme="minorEastAsia" w:eastAsiaTheme="minorEastAsia"/>
          <w:sz w:val="24"/>
          <w:szCs w:val="24"/>
        </w:rPr>
        <w:t>中文字符在</w:t>
      </w:r>
      <w:r>
        <w:rPr>
          <w:rFonts w:asciiTheme="minorEastAsia" w:hAnsiTheme="minorEastAsia" w:eastAsiaTheme="minorEastAsia"/>
          <w:sz w:val="24"/>
          <w:szCs w:val="24"/>
        </w:rPr>
        <w:t>5000字</w:t>
      </w:r>
      <w:bookmarkEnd w:id="3"/>
      <w:r>
        <w:rPr>
          <w:rFonts w:hint="eastAsia" w:asciiTheme="minorEastAsia" w:hAnsiTheme="minorEastAsia" w:eastAsiaTheme="minorEastAsia"/>
          <w:sz w:val="24"/>
          <w:szCs w:val="24"/>
        </w:rPr>
        <w:t>以内，插入的图表应有针对性、有效性，一般不超过1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张</w:t>
      </w:r>
      <w:r>
        <w:rPr>
          <w:rFonts w:asciiTheme="minorEastAsia" w:hAnsiTheme="minorEastAsia" w:eastAsiaTheme="minorEastAsia"/>
          <w:sz w:val="24"/>
          <w:szCs w:val="24"/>
        </w:rPr>
        <w:t>。</w:t>
      </w:r>
      <w:r>
        <w:rPr>
          <w:rFonts w:asciiTheme="minorEastAsia" w:hAnsiTheme="minorEastAsia" w:eastAsiaTheme="minorEastAsia"/>
          <w:sz w:val="24"/>
          <w:szCs w:val="24"/>
          <w:lang w:val="en-US" w:eastAsia="zh-CN"/>
        </w:rPr>
        <w:t>教学团队针对本课程教学实践中的问题开展研究和实践，完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成教学设计、实施课堂教学，撰写 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份教学实施报告。报告应总结参赛内容的教学整体设计、教学实施过程、学生学习效果、反思改进措施等方面情况，突出重点和特色，体现创新举措和具体成效，可用图表加以佐证。中文字符在 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 xml:space="preserve">5000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字以内（文末注明正文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中文字符统计数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），插入的图表应有针对性、有效性，文字清晰可见，图表合计不超过 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张，单张图表原则上不超过半页。</w:t>
      </w:r>
    </w:p>
    <w:p>
      <w:pPr>
        <w:overflowPunct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（三）专业人才培养方案</w:t>
      </w:r>
    </w:p>
    <w:p>
      <w:pPr>
        <w:overflowPunct w:val="0"/>
        <w:spacing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教学团队提交学校及时修订和实际使用的专业人才培养方案。专业人才培养方案应按照《教育部关于职业院校专业人才培养方案制订与实施工作的指导意见》（教职成〔2019〕13 号）《关于组织做好职业院校专业人才培养方案制订与实施工作的通知》（教职成司函〔2019〕61 号）《教育部关于印发〈职业教育专业目录（2021 年）〉的通知》（教职成〔2021〕2 号）和《职业教育专业简介（2022 年修订）》有关要求制定或修订。公共基础课程组只需提交授课班级所在专业的人才培养方案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overflowPunct w:val="0"/>
        <w:spacing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（四）课程标准</w:t>
      </w:r>
    </w:p>
    <w:p>
      <w:pPr>
        <w:overflowPunct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应执行教育部 2020 年、2021 年印发的相应课程标准，参赛团队须提交执行部颁课程标准的实施方案，对课标中未覆盖的部分（如基础模块的职场情境任务、拓展模块的具体内容、各模块的授课进程安排等）予以重点说明。在提交的课程标准（或实施方案）中，应另附参赛班级授课计划表（注明授课日期、学时）。 </w:t>
      </w:r>
    </w:p>
    <w:p>
      <w:pPr>
        <w:overflowPunct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overflowPunct w:val="0"/>
        <w:spacing w:line="40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二、参赛作品视频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材料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教学团队成员</w:t>
      </w:r>
      <w:r>
        <w:rPr>
          <w:rFonts w:hint="eastAsia" w:asciiTheme="minorEastAsia" w:hAnsiTheme="minorEastAsia" w:eastAsiaTheme="minorEastAsia"/>
          <w:sz w:val="24"/>
          <w:szCs w:val="24"/>
        </w:rPr>
        <w:t>按照教学设计</w:t>
      </w:r>
      <w:r>
        <w:rPr>
          <w:rFonts w:asciiTheme="minorEastAsia" w:hAnsiTheme="minorEastAsia" w:eastAsiaTheme="minorEastAsia"/>
          <w:sz w:val="24"/>
          <w:szCs w:val="24"/>
        </w:rPr>
        <w:t>实施课堂教学（含实训、实习），录制3</w:t>
      </w:r>
      <w:r>
        <w:rPr>
          <w:rFonts w:hint="eastAsia" w:asciiTheme="minorEastAsia" w:hAnsiTheme="minorEastAsia" w:eastAsiaTheme="minorEastAsia"/>
          <w:sz w:val="24"/>
          <w:szCs w:val="24"/>
        </w:rPr>
        <w:t>—</w:t>
      </w:r>
      <w:r>
        <w:rPr>
          <w:rFonts w:asciiTheme="minorEastAsia" w:hAnsiTheme="minorEastAsia" w:eastAsiaTheme="minorEastAsia"/>
          <w:sz w:val="24"/>
          <w:szCs w:val="24"/>
        </w:rPr>
        <w:t>4段课堂实录视频，</w:t>
      </w:r>
      <w:r>
        <w:rPr>
          <w:rFonts w:hint="eastAsia" w:asciiTheme="minorEastAsia" w:hAnsiTheme="minorEastAsia" w:eastAsiaTheme="minorEastAsia"/>
          <w:sz w:val="24"/>
          <w:szCs w:val="24"/>
        </w:rPr>
        <w:t>原则上每位团队成员不少于1段</w:t>
      </w:r>
      <w:bookmarkStart w:id="4" w:name="_Hlk36506402"/>
      <w:r>
        <w:rPr>
          <w:rFonts w:hint="eastAsia" w:asciiTheme="minorEastAsia" w:hAnsiTheme="minorEastAsia" w:eastAsiaTheme="minorEastAsia"/>
          <w:sz w:val="24"/>
          <w:szCs w:val="24"/>
        </w:rPr>
        <w:t>，应在实际教学（含顶岗实习）场所拍摄</w:t>
      </w:r>
      <w:bookmarkEnd w:id="4"/>
      <w:r>
        <w:rPr>
          <w:rFonts w:hint="eastAsia" w:asciiTheme="minorEastAsia" w:hAnsiTheme="minorEastAsia" w:eastAsiaTheme="minorEastAsia"/>
          <w:sz w:val="24"/>
          <w:szCs w:val="24"/>
        </w:rPr>
        <w:t>，参与教学的应是授课班级的全体学生（按照课程标准、教学实际等情况设计实施分班教学的需有专门说明）。</w:t>
      </w:r>
      <w:r>
        <w:rPr>
          <w:rFonts w:asciiTheme="minorEastAsia" w:hAnsiTheme="minorEastAsia" w:eastAsiaTheme="minorEastAsia"/>
          <w:sz w:val="24"/>
          <w:szCs w:val="24"/>
        </w:rPr>
        <w:t>课堂实录视频</w:t>
      </w:r>
      <w:bookmarkStart w:id="5" w:name="_Hlk36507284"/>
      <w:r>
        <w:rPr>
          <w:rFonts w:asciiTheme="minorEastAsia" w:hAnsiTheme="minorEastAsia" w:eastAsiaTheme="minorEastAsia"/>
          <w:sz w:val="24"/>
          <w:szCs w:val="24"/>
        </w:rPr>
        <w:t>每段</w:t>
      </w:r>
      <w:r>
        <w:rPr>
          <w:rFonts w:hint="eastAsia" w:asciiTheme="minorEastAsia" w:hAnsiTheme="minorEastAsia" w:eastAsiaTheme="minorEastAsia"/>
          <w:sz w:val="24"/>
          <w:szCs w:val="24"/>
        </w:rPr>
        <w:t>时长</w:t>
      </w:r>
      <w:r>
        <w:rPr>
          <w:rFonts w:asciiTheme="minorEastAsia" w:hAnsiTheme="minorEastAsia" w:eastAsia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—</w:t>
      </w:r>
      <w:r>
        <w:rPr>
          <w:rFonts w:asciiTheme="minorEastAsia" w:hAnsiTheme="minorEastAsia" w:eastAsiaTheme="minorEastAsia"/>
          <w:sz w:val="24"/>
          <w:szCs w:val="24"/>
        </w:rPr>
        <w:t>15分钟，总时长</w:t>
      </w:r>
      <w:r>
        <w:rPr>
          <w:rFonts w:hint="eastAsia" w:asciiTheme="minorEastAsia" w:hAnsiTheme="minorEastAsia" w:eastAsiaTheme="minorEastAsia"/>
          <w:sz w:val="24"/>
          <w:szCs w:val="24"/>
        </w:rPr>
        <w:t>控制在</w:t>
      </w:r>
      <w:r>
        <w:rPr>
          <w:rFonts w:asciiTheme="minorEastAsia" w:hAnsiTheme="minorEastAsia" w:eastAsiaTheme="minorEastAsia"/>
          <w:sz w:val="24"/>
          <w:szCs w:val="24"/>
        </w:rPr>
        <w:t>35</w:t>
      </w:r>
      <w:r>
        <w:rPr>
          <w:rFonts w:hint="eastAsia" w:asciiTheme="minorEastAsia" w:hAnsiTheme="minorEastAsia" w:eastAsiaTheme="minorEastAsia"/>
          <w:sz w:val="24"/>
          <w:szCs w:val="24"/>
        </w:rPr>
        <w:t>—</w:t>
      </w:r>
      <w:r>
        <w:rPr>
          <w:rFonts w:asciiTheme="minorEastAsia" w:hAnsiTheme="minorEastAsia" w:eastAsiaTheme="minorEastAsia"/>
          <w:sz w:val="24"/>
          <w:szCs w:val="24"/>
        </w:rPr>
        <w:t>40分钟</w:t>
      </w:r>
      <w:bookmarkEnd w:id="5"/>
      <w:r>
        <w:rPr>
          <w:rFonts w:asciiTheme="minorEastAsia" w:hAnsiTheme="minorEastAsia" w:eastAsiaTheme="minorEastAsia"/>
          <w:sz w:val="24"/>
          <w:szCs w:val="24"/>
        </w:rPr>
        <w:t>；每段视频</w:t>
      </w:r>
      <w:r>
        <w:rPr>
          <w:rFonts w:hint="eastAsia" w:asciiTheme="minorEastAsia" w:hAnsiTheme="minorEastAsia" w:eastAsiaTheme="minorEastAsia"/>
          <w:sz w:val="24"/>
          <w:szCs w:val="24"/>
        </w:rPr>
        <w:t>可自行选择教学场景，</w:t>
      </w:r>
      <w:r>
        <w:rPr>
          <w:rFonts w:asciiTheme="minorEastAsia" w:hAnsiTheme="minorEastAsia" w:eastAsiaTheme="minorEastAsia"/>
          <w:sz w:val="24"/>
          <w:szCs w:val="24"/>
        </w:rPr>
        <w:t>应分别完整、清晰地呈现参赛作品中内容相对独立完整、课程属性特质鲜明、反映团队成员教学风格的教学活动实况。</w:t>
      </w:r>
      <w:r>
        <w:rPr>
          <w:rFonts w:hint="eastAsia" w:asciiTheme="minorEastAsia" w:hAnsiTheme="minorEastAsia" w:eastAsiaTheme="minorEastAsia"/>
          <w:sz w:val="24"/>
          <w:szCs w:val="24"/>
        </w:rPr>
        <w:t>高职专业课程二组</w:t>
      </w:r>
      <w:r>
        <w:rPr>
          <w:rFonts w:asciiTheme="minorEastAsia" w:hAnsiTheme="minorEastAsia" w:eastAsiaTheme="minorEastAsia"/>
          <w:sz w:val="24"/>
          <w:szCs w:val="24"/>
        </w:rPr>
        <w:t>参赛作品的视频中须包含不少于2段反映团队成员关键技术技能教学操作与示范的教学实况。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课堂实录视频须采用单机方式全程连续录制（不得使用摇臂</w:t>
      </w:r>
      <w:r>
        <w:rPr>
          <w:rFonts w:hint="eastAsia" w:asciiTheme="minorEastAsia" w:hAnsiTheme="minorEastAsia" w:eastAsiaTheme="minorEastAsia"/>
          <w:sz w:val="24"/>
          <w:szCs w:val="24"/>
        </w:rPr>
        <w:t>、无人机</w:t>
      </w:r>
      <w:r>
        <w:rPr>
          <w:rFonts w:asciiTheme="minorEastAsia" w:hAnsiTheme="minorEastAsia" w:eastAsiaTheme="minorEastAsia"/>
          <w:sz w:val="24"/>
          <w:szCs w:val="24"/>
        </w:rPr>
        <w:t>、虚拟演播系统</w:t>
      </w:r>
      <w:r>
        <w:rPr>
          <w:rFonts w:hint="eastAsia" w:asciiTheme="minorEastAsia" w:hAnsiTheme="minorEastAsia" w:eastAsiaTheme="minorEastAsia"/>
          <w:sz w:val="24"/>
          <w:szCs w:val="24"/>
        </w:rPr>
        <w:t>、临时拼接大型LED显示屏</w:t>
      </w:r>
      <w:r>
        <w:rPr>
          <w:rFonts w:asciiTheme="minorEastAsia" w:hAnsiTheme="minorEastAsia" w:eastAsia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/>
          <w:sz w:val="24"/>
          <w:szCs w:val="24"/>
        </w:rPr>
        <w:t>脱离课堂教学实际、片面追求拍摄效果、费用昂贵的录制手段</w:t>
      </w:r>
      <w:r>
        <w:rPr>
          <w:rFonts w:asciiTheme="minorEastAsia" w:hAnsiTheme="minorEastAsia" w:eastAsiaTheme="minorEastAsia"/>
          <w:sz w:val="24"/>
          <w:szCs w:val="24"/>
        </w:rPr>
        <w:t>），不允许另行剪辑及配音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不加片头片尾、字幕注解，不</w:t>
      </w:r>
      <w:r>
        <w:rPr>
          <w:rFonts w:hint="eastAsia" w:asciiTheme="minorEastAsia" w:hAnsiTheme="minorEastAsia" w:eastAsiaTheme="minorEastAsia"/>
          <w:sz w:val="24"/>
          <w:szCs w:val="24"/>
        </w:rPr>
        <w:t>得</w:t>
      </w:r>
      <w:r>
        <w:rPr>
          <w:rFonts w:asciiTheme="minorEastAsia" w:hAnsiTheme="minorEastAsia" w:eastAsiaTheme="minorEastAsia"/>
          <w:sz w:val="24"/>
          <w:szCs w:val="24"/>
        </w:rPr>
        <w:t>泄露地区、学校名称。采用MP4格式封装，每个文件大小不超过200M。每段视频文件</w:t>
      </w:r>
      <w:r>
        <w:rPr>
          <w:rFonts w:hint="eastAsia" w:asciiTheme="minorEastAsia" w:hAnsiTheme="minorEastAsia" w:eastAsiaTheme="minorEastAsia"/>
          <w:sz w:val="24"/>
          <w:szCs w:val="24"/>
        </w:rPr>
        <w:t>以“教案序号+教学活动名称”分别</w:t>
      </w:r>
      <w:r>
        <w:rPr>
          <w:rFonts w:asciiTheme="minorEastAsia" w:hAnsiTheme="minorEastAsia" w:eastAsiaTheme="minorEastAsia"/>
          <w:sz w:val="24"/>
          <w:szCs w:val="24"/>
        </w:rPr>
        <w:t>命名。</w:t>
      </w:r>
    </w:p>
    <w:p>
      <w:pPr>
        <w:overflowPunct w:val="0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spacing w:line="400" w:lineRule="exact"/>
        <w:ind w:right="640" w:firstLine="3360" w:firstLineChars="1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br w:type="page"/>
      </w:r>
    </w:p>
    <w:p>
      <w:pPr>
        <w:overflowPunct w:val="0"/>
        <w:snapToGrid w:val="0"/>
        <w:contextualSpacing/>
        <w:rPr>
          <w:rFonts w:asciiTheme="minorEastAsia" w:hAnsiTheme="minorEastAsia" w:eastAsiaTheme="minorEastAsia"/>
          <w:sz w:val="32"/>
          <w:szCs w:val="32"/>
        </w:rPr>
      </w:pPr>
      <w:bookmarkStart w:id="9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附件2-4 </w:t>
      </w:r>
      <w:bookmarkEnd w:id="9"/>
      <w:r>
        <w:rPr>
          <w:rFonts w:hint="eastAsia" w:asciiTheme="minorEastAsia" w:hAnsiTheme="minorEastAsia" w:eastAsiaTheme="minorEastAsia"/>
          <w:snapToGrid w:val="0"/>
          <w:sz w:val="32"/>
          <w:szCs w:val="32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评分指标</w:t>
      </w:r>
    </w:p>
    <w:p>
      <w:pPr>
        <w:overflowPunct w:val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一、公共基础课程组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4"/>
        <w:gridCol w:w="8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6" w:name="_Hlk10491916"/>
            <w:r>
              <w:rPr>
                <w:rFonts w:hint="eastAsia" w:ascii="黑体" w:hAnsi="黑体" w:eastAsia="黑体"/>
                <w:sz w:val="24"/>
                <w:szCs w:val="24"/>
              </w:rPr>
              <w:t>评价</w:t>
            </w:r>
            <w:bookmarkEnd w:id="6"/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学情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适应新时代对技术技能人才培养的新要求，</w:t>
            </w:r>
            <w:r>
              <w:rPr>
                <w:rFonts w:ascii="Times New Roman" w:hAnsi="Times New Roman"/>
                <w:sz w:val="24"/>
                <w:szCs w:val="24"/>
              </w:rPr>
              <w:t>中职组作品应</w:t>
            </w: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  <w:r>
              <w:rPr>
                <w:rFonts w:ascii="Times New Roman" w:hAnsi="Times New Roman"/>
                <w:sz w:val="24"/>
                <w:szCs w:val="24"/>
              </w:rPr>
              <w:t>教育部发布的《中等职业学校</w:t>
            </w:r>
            <w:r>
              <w:rPr>
                <w:rFonts w:hint="eastAsia" w:ascii="宋体" w:hAnsi="宋体" w:cs="宋体"/>
                <w:sz w:val="24"/>
                <w:szCs w:val="24"/>
              </w:rPr>
              <w:t>公共基础</w:t>
            </w:r>
            <w:r>
              <w:rPr>
                <w:rFonts w:ascii="Times New Roman" w:hAnsi="Times New Roman"/>
                <w:sz w:val="24"/>
                <w:szCs w:val="24"/>
              </w:rPr>
              <w:t>课程方案》、公共基础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课程标准有关要求，紧扣</w:t>
            </w:r>
            <w:r>
              <w:rPr>
                <w:rFonts w:ascii="Times New Roman" w:hAnsi="Times New Roman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专业人才培养方案和</w:t>
            </w:r>
            <w:r>
              <w:rPr>
                <w:rFonts w:ascii="Times New Roman" w:hAnsi="Times New Roman"/>
                <w:sz w:val="24"/>
                <w:szCs w:val="24"/>
              </w:rPr>
              <w:t>课程教学安排</w:t>
            </w:r>
            <w:r>
              <w:rPr>
                <w:rFonts w:hint="eastAsia" w:ascii="宋体" w:hAnsi="宋体" w:cs="宋体"/>
                <w:sz w:val="24"/>
                <w:szCs w:val="24"/>
              </w:rPr>
              <w:t>，强调培育学生的学习能力、信息素养</w:t>
            </w:r>
            <w:r>
              <w:rPr>
                <w:rFonts w:ascii="Times New Roman" w:hAnsi="Times New Roman"/>
                <w:sz w:val="24"/>
                <w:szCs w:val="24"/>
              </w:rPr>
              <w:t>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教学目标表述明确</w:t>
            </w:r>
            <w:r>
              <w:rPr>
                <w:rFonts w:ascii="Times New Roman" w:hAnsi="Times New Roman"/>
                <w:sz w:val="24"/>
                <w:szCs w:val="24"/>
              </w:rPr>
              <w:t>、相互关联</w:t>
            </w:r>
            <w:r>
              <w:rPr>
                <w:rFonts w:hint="eastAsia" w:ascii="宋体" w:hAnsi="宋体" w:cs="宋体"/>
                <w:sz w:val="24"/>
                <w:szCs w:val="24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客观</w:t>
            </w:r>
            <w:r>
              <w:rPr>
                <w:rFonts w:hint="eastAsia" w:ascii="宋体" w:hAnsi="宋体" w:cs="宋体"/>
                <w:sz w:val="24"/>
                <w:szCs w:val="24"/>
              </w:rPr>
              <w:t>分析学生知识基础、认知能力</w:t>
            </w:r>
            <w:r>
              <w:rPr>
                <w:rFonts w:ascii="Times New Roman" w:hAnsi="Times New Roman"/>
                <w:sz w:val="24"/>
                <w:szCs w:val="24"/>
              </w:rPr>
              <w:t>、学习特点、专业特性</w:t>
            </w:r>
            <w:r>
              <w:rPr>
                <w:rFonts w:hint="eastAsia" w:ascii="宋体" w:hAnsi="宋体" w:cs="宋体"/>
                <w:sz w:val="24"/>
                <w:szCs w:val="24"/>
              </w:rPr>
              <w:t>等，详实</w:t>
            </w:r>
            <w:r>
              <w:rPr>
                <w:rFonts w:ascii="Times New Roman" w:hAnsi="Times New Roman"/>
                <w:sz w:val="24"/>
                <w:szCs w:val="24"/>
              </w:rPr>
              <w:t>反映学生整体与个体情况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数据，</w:t>
            </w:r>
            <w:r>
              <w:rPr>
                <w:rFonts w:ascii="Times New Roman" w:hAnsi="Times New Roman"/>
                <w:sz w:val="24"/>
                <w:szCs w:val="24"/>
              </w:rPr>
              <w:t>准确预判教学</w:t>
            </w:r>
            <w:r>
              <w:rPr>
                <w:rFonts w:hint="eastAsia" w:ascii="宋体" w:hAnsi="宋体" w:cs="宋体"/>
                <w:sz w:val="24"/>
                <w:szCs w:val="24"/>
              </w:rPr>
              <w:t>难点</w:t>
            </w:r>
            <w:r>
              <w:rPr>
                <w:rFonts w:ascii="Times New Roman" w:hAnsi="Times New Roman"/>
                <w:sz w:val="24"/>
                <w:szCs w:val="24"/>
              </w:rPr>
              <w:t>及其掌握可能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策略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bookmarkStart w:id="7" w:name="_Hlk44359443"/>
            <w:r>
              <w:rPr>
                <w:rFonts w:hint="eastAsia" w:ascii="宋体" w:hAnsi="宋体" w:cs="宋体"/>
                <w:sz w:val="24"/>
                <w:szCs w:val="24"/>
              </w:rPr>
              <w:t>思政课程</w:t>
            </w:r>
            <w:bookmarkEnd w:id="7"/>
            <w:r>
              <w:rPr>
                <w:rFonts w:ascii="Times New Roman" w:hAnsi="Times New Roman"/>
                <w:sz w:val="24"/>
                <w:szCs w:val="24"/>
              </w:rPr>
              <w:t>按照“八个相统一”要求扎实推进创优建设</w:t>
            </w:r>
            <w:r>
              <w:rPr>
                <w:rFonts w:hint="eastAsia" w:ascii="宋体" w:hAnsi="宋体" w:cs="宋体"/>
                <w:sz w:val="24"/>
                <w:szCs w:val="24"/>
              </w:rPr>
              <w:t>，其他课程注重</w:t>
            </w:r>
            <w:r>
              <w:rPr>
                <w:rFonts w:ascii="Times New Roman" w:hAnsi="Times New Roman"/>
                <w:sz w:val="24"/>
                <w:szCs w:val="24"/>
              </w:rPr>
              <w:t>落实课程思政要求；联系时代发展和社会生活，结合课程特点有机融入劳动教育内容，融通专业课程和职业能力，培育创新意识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教学内容有效支撑教学目标的实现，选择科学严谨</w:t>
            </w:r>
            <w:r>
              <w:rPr>
                <w:rFonts w:ascii="Times New Roman" w:hAnsi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容量适</w:t>
            </w:r>
            <w:r>
              <w:rPr>
                <w:rFonts w:ascii="Times New Roman" w:hAnsi="Times New Roman"/>
                <w:sz w:val="24"/>
                <w:szCs w:val="24"/>
              </w:rPr>
              <w:t>度</w:t>
            </w:r>
            <w:r>
              <w:rPr>
                <w:rFonts w:hint="eastAsia" w:ascii="宋体" w:hAnsi="宋体" w:cs="宋体"/>
                <w:sz w:val="24"/>
                <w:szCs w:val="24"/>
              </w:rPr>
              <w:t>，安排</w:t>
            </w:r>
            <w:r>
              <w:rPr>
                <w:rFonts w:ascii="Times New Roman" w:hAnsi="Times New Roman"/>
                <w:sz w:val="24"/>
                <w:szCs w:val="24"/>
              </w:rPr>
              <w:t>合理、</w:t>
            </w:r>
            <w:r>
              <w:rPr>
                <w:rFonts w:hint="eastAsia" w:ascii="宋体" w:hAnsi="宋体" w:cs="宋体"/>
                <w:sz w:val="24"/>
                <w:szCs w:val="24"/>
              </w:rPr>
              <w:t>衔接有序、结构清晰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教材选用</w:t>
            </w:r>
            <w:r>
              <w:rPr>
                <w:rFonts w:ascii="Times New Roman" w:hAnsi="Times New Roman"/>
                <w:sz w:val="24"/>
                <w:szCs w:val="24"/>
              </w:rPr>
              <w:t>、使用</w:t>
            </w: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  <w:r>
              <w:rPr>
                <w:rFonts w:ascii="Times New Roman" w:hAnsi="Times New Roman"/>
                <w:sz w:val="24"/>
                <w:szCs w:val="24"/>
              </w:rPr>
              <w:t>《职业院校教材管理办法》等文件规定和要求，</w:t>
            </w:r>
            <w:r>
              <w:rPr>
                <w:rFonts w:hint="eastAsia" w:ascii="宋体" w:hAnsi="宋体" w:cs="宋体"/>
                <w:sz w:val="24"/>
                <w:szCs w:val="24"/>
              </w:rPr>
              <w:t>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教学过程系统优化，流程环节构思得当，技术</w:t>
            </w:r>
            <w:r>
              <w:rPr>
                <w:rFonts w:ascii="Times New Roman" w:hAnsi="Times New Roman"/>
                <w:sz w:val="24"/>
                <w:szCs w:val="24"/>
              </w:rPr>
              <w:t>应用预想</w:t>
            </w:r>
            <w:r>
              <w:rPr>
                <w:rFonts w:hint="eastAsia" w:ascii="宋体" w:hAnsi="宋体" w:cs="宋体"/>
                <w:sz w:val="24"/>
                <w:szCs w:val="24"/>
              </w:rPr>
              <w:t>合理，方法手段</w:t>
            </w:r>
            <w:r>
              <w:rPr>
                <w:rFonts w:ascii="Times New Roman" w:hAnsi="Times New Roman"/>
                <w:sz w:val="24"/>
                <w:szCs w:val="24"/>
              </w:rPr>
              <w:t>设计</w:t>
            </w:r>
            <w:r>
              <w:rPr>
                <w:rFonts w:hint="eastAsia" w:ascii="宋体" w:hAnsi="宋体" w:cs="宋体"/>
                <w:sz w:val="24"/>
                <w:szCs w:val="24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成效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30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体现先进教育思想和教学理念，遵循学生认知规律</w:t>
            </w:r>
            <w:r>
              <w:rPr>
                <w:rFonts w:ascii="Times New Roman" w:hAnsi="Times New Roman"/>
                <w:sz w:val="24"/>
                <w:szCs w:val="24"/>
              </w:rPr>
              <w:t>，符合课内外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教学实际。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按照</w:t>
            </w:r>
            <w:r>
              <w:rPr>
                <w:rFonts w:ascii="Times New Roman" w:hAnsi="Times New Roman"/>
                <w:sz w:val="24"/>
                <w:szCs w:val="24"/>
              </w:rPr>
              <w:t>教学设计</w:t>
            </w:r>
            <w:r>
              <w:rPr>
                <w:rFonts w:hint="eastAsia" w:ascii="宋体" w:hAnsi="宋体" w:cs="宋体"/>
                <w:sz w:val="24"/>
                <w:szCs w:val="24"/>
              </w:rPr>
              <w:t>实施教学，</w:t>
            </w:r>
            <w:r>
              <w:rPr>
                <w:rFonts w:ascii="Times New Roman" w:hAnsi="Times New Roman"/>
                <w:sz w:val="24"/>
                <w:szCs w:val="24"/>
              </w:rPr>
              <w:t>关注</w:t>
            </w:r>
            <w:r>
              <w:rPr>
                <w:rFonts w:hint="eastAsia" w:ascii="宋体" w:hAnsi="宋体" w:cs="宋体"/>
                <w:sz w:val="24"/>
                <w:szCs w:val="24"/>
              </w:rPr>
              <w:t>重点</w:t>
            </w:r>
            <w:r>
              <w:rPr>
                <w:rFonts w:ascii="Times New Roman" w:hAnsi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难点的解决，能够针对学习反馈及时调整教学</w:t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突出学生中心，</w:t>
            </w:r>
            <w:r>
              <w:rPr>
                <w:rFonts w:ascii="Times New Roman" w:hAnsi="Times New Roman"/>
                <w:sz w:val="24"/>
                <w:szCs w:val="24"/>
              </w:rPr>
              <w:t>实行因材施教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教学环境满足需求，教学活动开展有序，教学互动深入</w:t>
            </w:r>
            <w:r>
              <w:rPr>
                <w:rFonts w:ascii="Times New Roman" w:hAnsi="Times New Roman"/>
                <w:sz w:val="24"/>
                <w:szCs w:val="24"/>
              </w:rPr>
              <w:t>有效</w:t>
            </w:r>
            <w:r>
              <w:rPr>
                <w:rFonts w:hint="eastAsia" w:ascii="宋体" w:hAnsi="宋体" w:cs="宋体"/>
                <w:sz w:val="24"/>
                <w:szCs w:val="24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合理运用信息技术、数字资源、信息化教学设施</w:t>
            </w:r>
            <w:r>
              <w:rPr>
                <w:rFonts w:ascii="Times New Roman" w:hAnsi="Times New Roman"/>
                <w:sz w:val="24"/>
                <w:szCs w:val="24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</w:rPr>
              <w:t>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素养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15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教师课堂教学态度认真、严谨规范、</w:t>
            </w:r>
            <w:r>
              <w:rPr>
                <w:rFonts w:ascii="Times New Roman" w:hAnsi="Times New Roman"/>
                <w:sz w:val="24"/>
                <w:szCs w:val="24"/>
              </w:rPr>
              <w:t>表述清晰、</w:t>
            </w:r>
            <w:r>
              <w:rPr>
                <w:rFonts w:hint="eastAsia" w:ascii="宋体" w:hAnsi="宋体" w:cs="宋体"/>
                <w:sz w:val="24"/>
                <w:szCs w:val="24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教学实施报告</w:t>
            </w:r>
            <w:r>
              <w:rPr>
                <w:rFonts w:hint="eastAsia" w:ascii="宋体" w:hAnsi="宋体" w:cs="宋体"/>
                <w:sz w:val="24"/>
                <w:szCs w:val="24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决赛现场</w:t>
            </w:r>
            <w:r>
              <w:rPr>
                <w:rFonts w:ascii="Times New Roman" w:hAnsi="Times New Roman"/>
                <w:sz w:val="24"/>
                <w:szCs w:val="24"/>
              </w:rPr>
              <w:t>的内容介绍、教学展示和回答提问</w:t>
            </w:r>
            <w:r>
              <w:rPr>
                <w:rFonts w:hint="eastAsia" w:ascii="宋体" w:hAnsi="宋体" w:cs="宋体"/>
                <w:sz w:val="24"/>
                <w:szCs w:val="24"/>
              </w:rPr>
              <w:t>聚焦主题、科学准确、思路清晰、逻辑严谨、研究深入、</w:t>
            </w:r>
            <w:r>
              <w:rPr>
                <w:rFonts w:ascii="Times New Roman" w:hAnsi="Times New Roman"/>
                <w:sz w:val="24"/>
                <w:szCs w:val="24"/>
              </w:rPr>
              <w:t>手段得当、简洁明了、</w:t>
            </w:r>
            <w:r>
              <w:rPr>
                <w:rFonts w:hint="eastAsia" w:ascii="宋体" w:hAnsi="宋体" w:cs="宋体"/>
                <w:sz w:val="24"/>
                <w:szCs w:val="24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15</w:t>
            </w:r>
          </w:p>
        </w:tc>
        <w:tc>
          <w:tcPr>
            <w:tcW w:w="4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能够引导学生树立正确的理想信念、学会正确的思维方法</w:t>
            </w:r>
            <w:r>
              <w:rPr>
                <w:rFonts w:ascii="Times New Roman" w:hAnsi="Times New Roman"/>
                <w:sz w:val="24"/>
                <w:szCs w:val="24"/>
              </w:rPr>
              <w:t>、培育正确的劳动观念、增强学生职业荣誉感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能够创新教学模式，给学生深刻的学习体验。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方正仿宋简体" w:hAnsi="方正仿宋简体"/>
                <w:sz w:val="24"/>
                <w:szCs w:val="24"/>
              </w:rPr>
              <w:t>具有较大借鉴和推广价值，特别是疫情防控</w:t>
            </w:r>
            <w:r>
              <w:rPr>
                <w:rFonts w:ascii="Times New Roman" w:hAnsi="Times New Roman"/>
                <w:sz w:val="24"/>
                <w:szCs w:val="24"/>
              </w:rPr>
              <w:t>常态化形势下的线上线下混合式教学实践。</w:t>
            </w:r>
          </w:p>
        </w:tc>
      </w:tr>
    </w:tbl>
    <w:p>
      <w:pPr>
        <w:overflowPunct w:val="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overflowPunct w:val="0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overflowPunct w:val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二、专业（技能）课程组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32"/>
        <w:gridCol w:w="8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学情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适应新时代对技术技能人才培养的新要求，符合</w:t>
            </w:r>
            <w:r>
              <w:rPr>
                <w:rFonts w:ascii="Times New Roman" w:hAnsi="Times New Roman"/>
                <w:sz w:val="24"/>
                <w:szCs w:val="24"/>
              </w:rPr>
              <w:t>教育部发布的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专业教学标准、实训教学条件建设标准（仪器设备装备规范）、顶岗实习标准等</w:t>
            </w:r>
            <w:r>
              <w:rPr>
                <w:rFonts w:ascii="Times New Roman" w:hAnsi="Times New Roman"/>
                <w:sz w:val="24"/>
                <w:szCs w:val="24"/>
              </w:rPr>
              <w:t>有关</w:t>
            </w:r>
            <w:r>
              <w:rPr>
                <w:rFonts w:hint="eastAsia" w:ascii="宋体" w:hAnsi="宋体" w:cs="宋体"/>
                <w:sz w:val="24"/>
                <w:szCs w:val="24"/>
              </w:rPr>
              <w:t>要求，</w:t>
            </w:r>
            <w:r>
              <w:rPr>
                <w:rFonts w:ascii="Times New Roman" w:hAnsi="Times New Roman"/>
                <w:sz w:val="24"/>
                <w:szCs w:val="24"/>
              </w:rPr>
              <w:t>涉及1+X</w:t>
            </w:r>
            <w:r>
              <w:rPr>
                <w:rFonts w:ascii="方正仿宋简体" w:hAnsi="方正仿宋简体"/>
                <w:sz w:val="24"/>
                <w:szCs w:val="24"/>
              </w:rPr>
              <w:t>证书制度试点的专业，还应对接有关职业技能等级标准。</w:t>
            </w:r>
            <w:r>
              <w:rPr>
                <w:rFonts w:hint="eastAsia" w:ascii="宋体" w:hAnsi="宋体" w:cs="宋体"/>
                <w:sz w:val="24"/>
                <w:szCs w:val="24"/>
              </w:rPr>
              <w:t>紧扣</w:t>
            </w:r>
            <w:r>
              <w:rPr>
                <w:rFonts w:ascii="Times New Roman" w:hAnsi="Times New Roman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专业人才培养方案和课程标准，</w:t>
            </w:r>
            <w:r>
              <w:rPr>
                <w:rFonts w:ascii="Times New Roman" w:hAnsi="Times New Roman"/>
                <w:sz w:val="24"/>
                <w:szCs w:val="24"/>
              </w:rPr>
              <w:t>强调培育学生学习能力、信息素养、职业能力、精益求精的工匠精神和爱岗敬业的劳动态度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教学目标表述明确</w:t>
            </w:r>
            <w:r>
              <w:rPr>
                <w:rFonts w:ascii="Times New Roman" w:hAnsi="Times New Roman"/>
                <w:sz w:val="24"/>
                <w:szCs w:val="24"/>
              </w:rPr>
              <w:t>、相互关联</w:t>
            </w:r>
            <w:r>
              <w:rPr>
                <w:rFonts w:hint="eastAsia" w:ascii="宋体" w:hAnsi="宋体" w:cs="宋体"/>
                <w:sz w:val="24"/>
                <w:szCs w:val="24"/>
              </w:rPr>
              <w:t>，重点突出、可评可测。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客观</w:t>
            </w:r>
            <w:r>
              <w:rPr>
                <w:rFonts w:hint="eastAsia" w:ascii="宋体" w:hAnsi="宋体" w:cs="宋体"/>
                <w:sz w:val="24"/>
                <w:szCs w:val="24"/>
              </w:rPr>
              <w:t>分析学生的知识和技能基础、认知和实践能力</w:t>
            </w:r>
            <w:r>
              <w:rPr>
                <w:rFonts w:ascii="Times New Roman" w:hAnsi="Times New Roman"/>
                <w:sz w:val="24"/>
                <w:szCs w:val="24"/>
              </w:rPr>
              <w:t>、学习特点</w:t>
            </w:r>
            <w:r>
              <w:rPr>
                <w:rFonts w:hint="eastAsia" w:ascii="宋体" w:hAnsi="宋体" w:cs="宋体"/>
                <w:sz w:val="24"/>
                <w:szCs w:val="24"/>
              </w:rPr>
              <w:t>等，详实</w:t>
            </w:r>
            <w:r>
              <w:rPr>
                <w:rFonts w:ascii="Times New Roman" w:hAnsi="Times New Roman"/>
                <w:sz w:val="24"/>
                <w:szCs w:val="24"/>
              </w:rPr>
              <w:t>反映学生整体与个体情况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数据，</w:t>
            </w:r>
            <w:r>
              <w:rPr>
                <w:rFonts w:ascii="Times New Roman" w:hAnsi="Times New Roman"/>
                <w:sz w:val="24"/>
                <w:szCs w:val="24"/>
              </w:rPr>
              <w:t>准确预判教学</w:t>
            </w:r>
            <w:r>
              <w:rPr>
                <w:rFonts w:hint="eastAsia" w:ascii="宋体" w:hAnsi="宋体" w:cs="宋体"/>
                <w:sz w:val="24"/>
                <w:szCs w:val="24"/>
              </w:rPr>
              <w:t>难点</w:t>
            </w:r>
            <w:r>
              <w:rPr>
                <w:rFonts w:ascii="Times New Roman" w:hAnsi="Times New Roman"/>
                <w:sz w:val="24"/>
                <w:szCs w:val="24"/>
              </w:rPr>
              <w:t>及其掌握可能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策略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bookmarkStart w:id="8" w:name="_Hlk44359470"/>
            <w:r>
              <w:rPr>
                <w:rFonts w:ascii="Times New Roman" w:hAnsi="Times New Roman"/>
                <w:sz w:val="24"/>
                <w:szCs w:val="24"/>
              </w:rPr>
              <w:t>深入挖掘课程</w:t>
            </w:r>
            <w:bookmarkEnd w:id="8"/>
            <w:r>
              <w:rPr>
                <w:rFonts w:hint="eastAsia" w:ascii="宋体" w:hAnsi="宋体" w:cs="宋体"/>
                <w:sz w:val="24"/>
                <w:szCs w:val="24"/>
              </w:rPr>
              <w:t>思政元素，</w:t>
            </w:r>
            <w:r>
              <w:rPr>
                <w:rFonts w:ascii="Times New Roman" w:hAnsi="Times New Roman"/>
                <w:sz w:val="24"/>
                <w:szCs w:val="24"/>
              </w:rPr>
              <w:t>有机融入课程教学，及时</w:t>
            </w:r>
            <w:r>
              <w:rPr>
                <w:rFonts w:hint="eastAsia" w:ascii="宋体" w:hAnsi="宋体" w:cs="宋体"/>
                <w:sz w:val="24"/>
                <w:szCs w:val="24"/>
              </w:rPr>
              <w:t>反映相关领域产业升级的新技术、新工艺、新规范，</w:t>
            </w:r>
            <w:r>
              <w:rPr>
                <w:rFonts w:ascii="Times New Roman" w:hAnsi="Times New Roman"/>
                <w:sz w:val="24"/>
                <w:szCs w:val="24"/>
              </w:rPr>
              <w:t>结合课程特点有机融入劳动教育内容，开展劳动精神、劳模精神、工匠精神专题教育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sz w:val="24"/>
                <w:szCs w:val="24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教学内容有效支撑教学目标的实现，选择科学严谨、容量</w:t>
            </w:r>
            <w:r>
              <w:rPr>
                <w:rFonts w:ascii="Times New Roman" w:hAnsi="Times New Roman"/>
                <w:sz w:val="24"/>
                <w:szCs w:val="24"/>
              </w:rPr>
              <w:t>适度</w:t>
            </w:r>
            <w:r>
              <w:rPr>
                <w:rFonts w:hint="eastAsia" w:ascii="宋体" w:hAnsi="宋体" w:cs="宋体"/>
                <w:sz w:val="24"/>
                <w:szCs w:val="24"/>
              </w:rPr>
              <w:t>，安排</w:t>
            </w:r>
            <w:r>
              <w:rPr>
                <w:rFonts w:ascii="Times New Roman" w:hAnsi="Times New Roman"/>
                <w:sz w:val="24"/>
                <w:szCs w:val="24"/>
              </w:rPr>
              <w:t>合理、</w:t>
            </w:r>
            <w:r>
              <w:rPr>
                <w:rFonts w:hint="eastAsia" w:ascii="宋体" w:hAnsi="宋体" w:cs="宋体"/>
                <w:sz w:val="24"/>
                <w:szCs w:val="24"/>
              </w:rPr>
              <w:t>衔接有序、结构清晰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教材选用</w:t>
            </w:r>
            <w:r>
              <w:rPr>
                <w:rFonts w:ascii="Times New Roman" w:hAnsi="Times New Roman"/>
                <w:sz w:val="24"/>
                <w:szCs w:val="24"/>
              </w:rPr>
              <w:t>符合《职业院校教材管理办法》等文件规定和要求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根据项目式、案例式等教学需要，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教学过程系统优化，流程环节构思得当，</w:t>
            </w:r>
            <w:r>
              <w:rPr>
                <w:rFonts w:ascii="Times New Roman" w:hAnsi="Times New Roman"/>
                <w:sz w:val="24"/>
                <w:szCs w:val="24"/>
              </w:rPr>
              <w:t>技术应用预想合理，</w:t>
            </w:r>
            <w:r>
              <w:rPr>
                <w:rFonts w:hint="eastAsia" w:ascii="宋体" w:hAnsi="宋体" w:cs="宋体"/>
                <w:sz w:val="24"/>
                <w:szCs w:val="24"/>
              </w:rPr>
              <w:t>方法手段</w:t>
            </w:r>
            <w:r>
              <w:rPr>
                <w:rFonts w:ascii="Times New Roman" w:hAnsi="Times New Roman"/>
                <w:sz w:val="24"/>
                <w:szCs w:val="24"/>
              </w:rPr>
              <w:t>设计</w:t>
            </w:r>
            <w:r>
              <w:rPr>
                <w:rFonts w:hint="eastAsia" w:ascii="宋体" w:hAnsi="宋体" w:cs="宋体"/>
                <w:sz w:val="24"/>
                <w:szCs w:val="24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成效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0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体现先进教育思想和教学理念，遵循学生认知规律</w:t>
            </w:r>
            <w:r>
              <w:rPr>
                <w:rFonts w:ascii="Times New Roman" w:hAnsi="Times New Roman"/>
                <w:sz w:val="24"/>
                <w:szCs w:val="24"/>
              </w:rPr>
              <w:t>，符合课内外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教学实际，</w:t>
            </w:r>
            <w:r>
              <w:rPr>
                <w:rFonts w:ascii="Times New Roman" w:hAnsi="Times New Roman"/>
                <w:sz w:val="24"/>
                <w:szCs w:val="24"/>
              </w:rPr>
              <w:t>落实</w:t>
            </w:r>
            <w:r>
              <w:rPr>
                <w:rFonts w:hint="eastAsia" w:ascii="宋体" w:hAnsi="宋体" w:cs="宋体"/>
                <w:sz w:val="24"/>
                <w:szCs w:val="24"/>
              </w:rPr>
              <w:t>德技并修、工学结合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按照</w:t>
            </w:r>
            <w:r>
              <w:rPr>
                <w:rFonts w:ascii="Times New Roman" w:hAnsi="Times New Roman"/>
                <w:sz w:val="24"/>
                <w:szCs w:val="24"/>
              </w:rPr>
              <w:t>教学设计</w:t>
            </w:r>
            <w:r>
              <w:rPr>
                <w:rFonts w:hint="eastAsia" w:ascii="宋体" w:hAnsi="宋体" w:cs="宋体"/>
                <w:sz w:val="24"/>
                <w:szCs w:val="24"/>
              </w:rPr>
              <w:t>实施教学，</w:t>
            </w:r>
            <w:r>
              <w:rPr>
                <w:rFonts w:ascii="Times New Roman" w:hAnsi="Times New Roman"/>
                <w:sz w:val="24"/>
                <w:szCs w:val="24"/>
              </w:rPr>
              <w:t>关注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技术技能教学重点</w:t>
            </w:r>
            <w:r>
              <w:rPr>
                <w:rFonts w:ascii="Times New Roman" w:hAnsi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难点的解决，能够针对学习和实践反馈及时调整教学</w:t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突出学生中心，强调知行合一，实行因材施教。</w:t>
            </w:r>
            <w:r>
              <w:rPr>
                <w:rFonts w:ascii="Times New Roman" w:hAnsi="Times New Roman"/>
                <w:sz w:val="24"/>
                <w:szCs w:val="24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教学环境满足需求，教学活动安全有序，教学互动深入</w:t>
            </w:r>
            <w:r>
              <w:rPr>
                <w:rFonts w:ascii="Times New Roman" w:hAnsi="Times New Roman"/>
                <w:sz w:val="24"/>
                <w:szCs w:val="24"/>
              </w:rPr>
              <w:t>有效</w:t>
            </w:r>
            <w:r>
              <w:rPr>
                <w:rFonts w:hint="eastAsia" w:ascii="宋体" w:hAnsi="宋体" w:cs="宋体"/>
                <w:sz w:val="24"/>
                <w:szCs w:val="24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关注教与学全过程的信息采集，针对目标要求开展教学与实践</w:t>
            </w:r>
            <w:r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</w:rPr>
              <w:t>考核与评价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合理运用</w:t>
            </w:r>
            <w:r>
              <w:rPr>
                <w:rFonts w:ascii="Times New Roman" w:hAnsi="Times New Roman"/>
                <w:sz w:val="24"/>
                <w:szCs w:val="24"/>
              </w:rPr>
              <w:t>云计算、大数据、物联网、虚拟仿真、增强现实、人工智能、区块链等信息技术以及</w:t>
            </w:r>
            <w:r>
              <w:rPr>
                <w:rFonts w:hint="eastAsia" w:ascii="宋体" w:hAnsi="宋体" w:cs="宋体"/>
                <w:sz w:val="24"/>
                <w:szCs w:val="24"/>
              </w:rPr>
              <w:t>数字资源、信息化教学设施</w:t>
            </w:r>
            <w:r>
              <w:rPr>
                <w:rFonts w:ascii="Times New Roman" w:hAnsi="Times New Roman"/>
                <w:sz w:val="24"/>
                <w:szCs w:val="24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</w:rPr>
              <w:t>改造传统教学与实践方式</w:t>
            </w:r>
            <w:r>
              <w:rPr>
                <w:rFonts w:ascii="Times New Roman" w:hAnsi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素养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方正仿宋简体" w:hAnsi="方正仿宋简体"/>
                <w:sz w:val="24"/>
                <w:szCs w:val="24"/>
              </w:rPr>
              <w:t>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课堂教学态度认真、严谨规范、</w:t>
            </w:r>
            <w:r>
              <w:rPr>
                <w:rFonts w:ascii="Times New Roman" w:hAnsi="Times New Roman"/>
                <w:sz w:val="24"/>
                <w:szCs w:val="24"/>
              </w:rPr>
              <w:t>表述清晰、</w:t>
            </w:r>
            <w:r>
              <w:rPr>
                <w:rFonts w:hint="eastAsia" w:ascii="宋体" w:hAnsi="宋体" w:cs="宋体"/>
                <w:sz w:val="24"/>
                <w:szCs w:val="24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实训教学讲解和操作配合恰当，规范娴熟、示范有效，符合职业岗位要求，展现良好</w:t>
            </w:r>
            <w:r>
              <w:rPr>
                <w:rFonts w:ascii="方正仿宋简体" w:hAnsi="方正仿宋简体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</w:rPr>
              <w:t>双师</w:t>
            </w:r>
            <w:r>
              <w:rPr>
                <w:rFonts w:ascii="方正仿宋简体" w:hAnsi="方正仿宋简体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</w:rPr>
              <w:t>素养。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教学实施报告</w:t>
            </w:r>
            <w:r>
              <w:rPr>
                <w:rFonts w:ascii="Times New Roman" w:hAnsi="Times New Roman"/>
                <w:sz w:val="24"/>
                <w:szCs w:val="24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决赛现场</w:t>
            </w:r>
            <w:r>
              <w:rPr>
                <w:rFonts w:ascii="Times New Roman" w:hAnsi="Times New Roman"/>
                <w:sz w:val="24"/>
                <w:szCs w:val="24"/>
              </w:rPr>
              <w:t>的内容介绍、教学展示和回答提问</w:t>
            </w:r>
            <w:r>
              <w:rPr>
                <w:rFonts w:hint="eastAsia" w:ascii="宋体" w:hAnsi="宋体" w:cs="宋体"/>
                <w:sz w:val="24"/>
                <w:szCs w:val="24"/>
              </w:rPr>
              <w:t>聚焦主题、科学准确、思路清晰、逻辑严谨、研究深入、</w:t>
            </w:r>
            <w:r>
              <w:rPr>
                <w:rFonts w:ascii="Times New Roman" w:hAnsi="Times New Roman"/>
                <w:sz w:val="24"/>
                <w:szCs w:val="24"/>
              </w:rPr>
              <w:t>手段得当、简洁明了、</w:t>
            </w:r>
            <w:r>
              <w:rPr>
                <w:rFonts w:hint="eastAsia" w:ascii="宋体" w:hAnsi="宋体" w:cs="宋体"/>
                <w:sz w:val="24"/>
                <w:szCs w:val="24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15</w:t>
            </w:r>
          </w:p>
        </w:tc>
        <w:tc>
          <w:tcPr>
            <w:tcW w:w="4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能够引导学生树立正确的理想信念、学会正确的思维方法、</w:t>
            </w:r>
            <w:r>
              <w:rPr>
                <w:rFonts w:ascii="Times New Roman" w:hAnsi="Times New Roman"/>
                <w:sz w:val="24"/>
                <w:szCs w:val="24"/>
              </w:rPr>
              <w:t>培育</w:t>
            </w:r>
            <w:r>
              <w:rPr>
                <w:rFonts w:hint="eastAsia" w:ascii="宋体" w:hAnsi="宋体" w:cs="宋体"/>
                <w:sz w:val="24"/>
                <w:szCs w:val="24"/>
              </w:rPr>
              <w:t>正确的劳动观念</w:t>
            </w:r>
            <w:r>
              <w:rPr>
                <w:rFonts w:ascii="Times New Roman" w:hAnsi="Times New Roman"/>
                <w:sz w:val="24"/>
                <w:szCs w:val="24"/>
              </w:rPr>
              <w:t>、增强学生职业荣誉感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方正仿宋简体" w:hAnsi="方正仿宋简体"/>
                <w:sz w:val="24"/>
                <w:szCs w:val="24"/>
              </w:rPr>
              <w:t>具有较大借鉴和推广价值，特别是疫情防控</w:t>
            </w:r>
            <w:r>
              <w:rPr>
                <w:rFonts w:ascii="Times New Roman" w:hAnsi="Times New Roman"/>
                <w:sz w:val="24"/>
                <w:szCs w:val="24"/>
              </w:rPr>
              <w:t>常态化形势下的线上线下混合式教学实践。</w:t>
            </w:r>
          </w:p>
        </w:tc>
      </w:tr>
    </w:tbl>
    <w:p>
      <w:pPr>
        <w:overflowPunct w:val="0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ZlNTcyNWQ3NTU5OTk4NjI0ZTQ5YWI5NzhiY2EifQ=="/>
  </w:docVars>
  <w:rsids>
    <w:rsidRoot w:val="002C3540"/>
    <w:rsid w:val="001042A8"/>
    <w:rsid w:val="002C3540"/>
    <w:rsid w:val="002C7823"/>
    <w:rsid w:val="00300686"/>
    <w:rsid w:val="00455E65"/>
    <w:rsid w:val="007E2A55"/>
    <w:rsid w:val="008B109A"/>
    <w:rsid w:val="00BA4EA5"/>
    <w:rsid w:val="0963693A"/>
    <w:rsid w:val="1B6A1CA2"/>
    <w:rsid w:val="32216AA9"/>
    <w:rsid w:val="3F9A222F"/>
    <w:rsid w:val="583141B9"/>
    <w:rsid w:val="5C5646F5"/>
    <w:rsid w:val="67524FC8"/>
    <w:rsid w:val="6C4F17F7"/>
    <w:rsid w:val="77825E7F"/>
    <w:rsid w:val="7970570E"/>
    <w:rsid w:val="7C3D3ED8"/>
    <w:rsid w:val="7F3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autoRedefine/>
    <w:qFormat/>
    <w:uiPriority w:val="99"/>
    <w:rPr>
      <w:rFonts w:ascii="宋体" w:hAnsi="Times New Roman"/>
      <w:sz w:val="18"/>
      <w:szCs w:val="18"/>
    </w:rPr>
  </w:style>
  <w:style w:type="paragraph" w:styleId="3">
    <w:name w:val="annotation text"/>
    <w:basedOn w:val="1"/>
    <w:link w:val="24"/>
    <w:autoRedefine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28"/>
    <w:autoRedefine/>
    <w:qFormat/>
    <w:uiPriority w:val="99"/>
    <w:pPr>
      <w:ind w:left="100" w:leftChars="2500"/>
    </w:pPr>
  </w:style>
  <w:style w:type="paragraph" w:styleId="5">
    <w:name w:val="Balloon Text"/>
    <w:basedOn w:val="1"/>
    <w:link w:val="26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5"/>
    <w:autoRedefine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autoRedefine/>
    <w:qFormat/>
    <w:uiPriority w:val="0"/>
  </w:style>
  <w:style w:type="character" w:styleId="14">
    <w:name w:val="Emphasis"/>
    <w:autoRedefine/>
    <w:qFormat/>
    <w:uiPriority w:val="20"/>
    <w:rPr>
      <w:i/>
    </w:rPr>
  </w:style>
  <w:style w:type="character" w:styleId="15">
    <w:name w:val="Hyperlink"/>
    <w:basedOn w:val="12"/>
    <w:autoRedefine/>
    <w:qFormat/>
    <w:uiPriority w:val="99"/>
    <w:rPr>
      <w:color w:val="0563C1"/>
      <w:u w:val="single"/>
    </w:rPr>
  </w:style>
  <w:style w:type="character" w:styleId="16">
    <w:name w:val="annotation reference"/>
    <w:autoRedefine/>
    <w:qFormat/>
    <w:uiPriority w:val="99"/>
    <w:rPr>
      <w:sz w:val="21"/>
      <w:szCs w:val="21"/>
    </w:rPr>
  </w:style>
  <w:style w:type="character" w:customStyle="1" w:styleId="17">
    <w:name w:val="页眉 Char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1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眉 字符1"/>
    <w:autoRedefine/>
    <w:qFormat/>
    <w:uiPriority w:val="99"/>
    <w:rPr>
      <w:rFonts w:eastAsia="仿宋_GB2312"/>
      <w:kern w:val="2"/>
      <w:sz w:val="18"/>
      <w:szCs w:val="18"/>
    </w:rPr>
  </w:style>
  <w:style w:type="table" w:customStyle="1" w:styleId="21">
    <w:name w:val="网格型1"/>
    <w:basedOn w:val="10"/>
    <w:autoRedefine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文档结构图 Char"/>
    <w:basedOn w:val="12"/>
    <w:link w:val="2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4">
    <w:name w:val="批注文字 Char"/>
    <w:basedOn w:val="12"/>
    <w:link w:val="3"/>
    <w:autoRedefine/>
    <w:qFormat/>
    <w:uiPriority w:val="99"/>
    <w:rPr>
      <w:rFonts w:ascii="Times New Roman" w:hAnsi="Times New Roman" w:eastAsia="仿宋_GB2312" w:cs="Times New Roman"/>
      <w:sz w:val="32"/>
    </w:rPr>
  </w:style>
  <w:style w:type="character" w:customStyle="1" w:styleId="25">
    <w:name w:val="批注主题 Char"/>
    <w:basedOn w:val="24"/>
    <w:link w:val="9"/>
    <w:autoRedefine/>
    <w:qFormat/>
    <w:uiPriority w:val="99"/>
    <w:rPr>
      <w:rFonts w:ascii="Times New Roman" w:hAnsi="Times New Roman" w:eastAsia="仿宋_GB2312" w:cs="Times New Roman"/>
      <w:b/>
      <w:bCs/>
      <w:sz w:val="32"/>
    </w:rPr>
  </w:style>
  <w:style w:type="character" w:customStyle="1" w:styleId="26">
    <w:name w:val="批注框文本 Char"/>
    <w:basedOn w:val="12"/>
    <w:link w:val="5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日期 Char"/>
    <w:basedOn w:val="12"/>
    <w:link w:val="4"/>
    <w:autoRedefine/>
    <w:qFormat/>
    <w:uiPriority w:val="99"/>
    <w:rPr>
      <w:rFonts w:ascii="Calibri" w:hAnsi="Calibri" w:eastAsia="宋体" w:cs="Times New Roman"/>
    </w:rPr>
  </w:style>
  <w:style w:type="character" w:customStyle="1" w:styleId="29">
    <w:name w:val="Unresolved Mention"/>
    <w:basedOn w:val="12"/>
    <w:autoRedefine/>
    <w:qFormat/>
    <w:uiPriority w:val="99"/>
    <w:rPr>
      <w:color w:val="605E5C"/>
      <w:shd w:val="clear" w:color="auto" w:fill="E1DFDD"/>
    </w:rPr>
  </w:style>
  <w:style w:type="paragraph" w:customStyle="1" w:styleId="30">
    <w:name w:val="List Paragraph1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等线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3641</Words>
  <Characters>3780</Characters>
  <Lines>29</Lines>
  <Paragraphs>8</Paragraphs>
  <TotalTime>9</TotalTime>
  <ScaleCrop>false</ScaleCrop>
  <LinksUpToDate>false</LinksUpToDate>
  <CharactersWithSpaces>3843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2020-06-08T04:04:00Z</dcterms:created>
  <dc:creator>user</dc:creator>
  <cp:lastModifiedBy>L</cp:lastModifiedBy>
  <cp:lastPrinted>2019-06-04T09:06:00Z</cp:lastPrinted>
  <dcterms:modified xsi:type="dcterms:W3CDTF">2024-04-18T08:19:53Z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7FD220A1445A4AB0B846A5FC795F0ED2</vt:lpwstr>
  </property>
</Properties>
</file>